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2.jpg" ContentType="image/jpeg"/>
  <Override PartName="/word/media/rId29.png" ContentType="image/png"/>
  <Override PartName="/word/media/rId27.jpg" ContentType="image/jpeg"/>
  <Override PartName="/word/media/rId42.jpg" ContentType="image/jpeg"/>
  <Override PartName="/word/media/rId41.jpg" ContentType="image/jpeg"/>
  <Override PartName="/word/media/rId36.jpg" ContentType="image/jpeg"/>
  <Override PartName="/word/media/rId35.jpg" ContentType="image/jpeg"/>
  <Override PartName="/word/media/rId30.jpg" ContentType="image/jpeg"/>
  <Override PartName="/word/media/rId38.jpg" ContentType="image/jpeg"/>
  <Override PartName="/word/media/rId3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09</w:t>
      </w:r>
      <w:r>
        <w:t xml:space="preserve"> </w:t>
      </w:r>
      <w:r>
        <w:t xml:space="preserve">July,</w:t>
      </w:r>
      <w:r>
        <w:t xml:space="preserve"> </w:t>
      </w:r>
      <w:r>
        <w:t xml:space="preserve">2020</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(1350-1850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the</w:t>
      </w:r>
      <w:r>
        <w:t xml:space="preserve"> </w:t>
      </w:r>
      <w:r>
        <w:t xml:space="preserve">European</w:t>
      </w:r>
      <w:r>
        <w:t xml:space="preserve"> </w:t>
      </w:r>
      <w:r>
        <w:t xml:space="preserve">colonial</w:t>
      </w:r>
      <w:r>
        <w:t xml:space="preserve"> </w:t>
      </w:r>
      <w:r>
        <w:t xml:space="preserve">presence,</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(Acabado 2017; 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(1350 AD-1850 AD), the largest Iron Age settlement on the Yilan plain in northeastern Taiwan. Ornaments are found at many Iron Age sites in Yilan, but only Kiwulan shows clear stratigraphic contexts from pre-European period to modern time.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period after the Spanish and Dutch presence, and the following period after the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Palaeolithic (c. 27,000 BP- 5000BP), Neolithic (c. 6500- 2000BP), and Iron age (c. 2000- 400BP) with slight regional differences in onset of each period and variations in style of artifacts and assemblages</w:t>
      </w:r>
      <w:r>
        <w:t xml:space="preserve"> </w:t>
      </w:r>
      <w:r>
        <w:t xml:space="preserve">(Chen 2017; Liu 2011)</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northeastern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Heping Dao, Keelung in 1626, and Fort San Domingo in 1629 at Tamsui (Figure</w:t>
      </w:r>
      <w:r>
        <w:t xml:space="preserve"> </w:t>
      </w:r>
      <w:r>
        <w:t xml:space="preserve">1</w:t>
      </w:r>
      <w:r>
        <w:t xml:space="preserve">).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women shamans in the tribe would use carnelian beads as magical items in ritual healing practices</w:t>
      </w:r>
      <w:r>
        <w:t xml:space="preserve"> </w:t>
      </w:r>
      <w:r>
        <w:t xml:space="preserve">(Borao 2009: 122–51)</w:t>
      </w:r>
      <w:r>
        <w:t xml:space="preserve">. Records of an Indigenous funeral describe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w:t>
      </w:r>
      <w:r>
        <w:t xml:space="preserve"> </w:t>
      </w:r>
      <w:r>
        <w:t xml:space="preserve">(Andrade 2007, ch. 9; Kang 2016, ch. 4)</w:t>
      </w:r>
      <w:r>
        <w:t xml:space="preserve">. The Dutch provided beads and other goods based on negotiations with Indigenous communities to secure alliances in the annual ceremony or during their travels</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colonization, an academic field survey for plains Indigenous groups reported that fish-shaped metal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specialized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a lack of archaeological evidence of beadmaking waste, metalworking, or accessible local raw materials. The chemical composition of glass beads from this region shows a high content of lead and, together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 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CaptionedFigure"/>
      </w:pPr>
      <w:r>
        <w:drawing>
          <wp:inline>
            <wp:extent cx="5334000" cy="2369179"/>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2"/>
                    <a:stretch>
                      <a:fillRect/>
                    </a:stretch>
                  </pic:blipFill>
                  <pic:spPr bwMode="auto">
                    <a:xfrm>
                      <a:off x="0" y="0"/>
                      <a:ext cx="5334000" cy="2369179"/>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Heading1"/>
      </w:pPr>
      <w:bookmarkStart w:id="23" w:name="X278aadcbb2ffc578d44cc4e94ff4377a0a2c6cb"/>
      <w:r>
        <w:t xml:space="preserve">Excavations at Kiwulan in northeastern Taiwan</w:t>
      </w:r>
      <w:bookmarkEnd w:id="23"/>
    </w:p>
    <w:p>
      <w:pPr>
        <w:pStyle w:val="FirstParagraph"/>
      </w:pPr>
      <w:r>
        <w:t xml:space="preserve">Archaeological ornaments from Kiwulan (Figure</w:t>
      </w:r>
      <w:r>
        <w:t xml:space="preserve"> </w:t>
      </w:r>
      <w:r>
        <w:t xml:space="preserve">1</w:t>
      </w:r>
      <w:r>
        <w:t xml:space="preserve">) come from a rescue archaeology project that was conducted between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artifacts, burials, middens, post-holes, wooden pillars, and stone structures, all of which indicates it was a long-term settlement. Artifact locations were recorded to the 2 x 2 m sub-square they were recovered in; they lack individual point provenance. Based on the continuity of deposition and the frequency of artifacts, the center of the site is the open area consisting of the A and D sections, which is also the study area where our samples come from (Figure</w:t>
      </w:r>
      <w:r>
        <w:t xml:space="preserve"> </w:t>
      </w:r>
      <w:r>
        <w:t xml:space="preserve">2</w:t>
      </w:r>
      <w:r>
        <w:t xml:space="preserve">). In the AD area, post-holes were found aligned in a north-south direction in intervals with construction marks, which have been interpreted as the remains of stilt house structures. At the north margin of the dwelling place were burials that are mostly oriented in an east-west direction.</w:t>
      </w:r>
    </w:p>
    <w:p>
      <w:pPr>
        <w:pStyle w:val="CaptionedFigure"/>
      </w:pPr>
      <w:r>
        <w:drawing>
          <wp:inline>
            <wp:extent cx="5334000" cy="4012212"/>
            <wp:effectExtent b="0" l="0" r="0" t="0"/>
            <wp:docPr descr="Figure 2: Map showing the largest section of excavation areas at Kiwulan, and the distribution of forty squares sampled in this paper presented in red with square ID numbers. Small dots represent the locations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334000" cy="4012212"/>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numbers. Small dots represent the locations of post-holes. Each square is 4 x 4 m</w:t>
      </w:r>
    </w:p>
    <w:p>
      <w:pPr>
        <w:pStyle w:val="Heading2"/>
      </w:pPr>
      <w:bookmarkStart w:id="25" w:name="chronology"/>
      <w:r>
        <w:t xml:space="preserve">Chronology</w:t>
      </w:r>
      <w:bookmarkEnd w:id="25"/>
    </w:p>
    <w:p>
      <w:pPr>
        <w:pStyle w:val="FirstParagraph"/>
      </w:pPr>
      <w:r>
        <w:t xml:space="preserve">The chronology of Kiwulan can be divided into two phases represented by a upper component (1350-1850 AD, 600-100 BP) and a lower component (650-1150 AD, 1200-800 BP) based on 32 radiocarbon ages,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There is a sterile deposit between two components spanning c. 150 years that may be related to dry weather, according to pollen analysis, leading to site abandonment</w:t>
      </w:r>
      <w:r>
        <w:t xml:space="preserve"> </w:t>
      </w:r>
      <w:r>
        <w:t xml:space="preserve">(Chen 2007; Lin 2015)</w:t>
      </w:r>
      <w:r>
        <w:t xml:space="preserve">. These component divisions present the differences in color and texture of the deposit, and the content of artifacts such as pottery types. Whether these two components suggest a culture continuity from the same people is still under debate</w:t>
      </w:r>
      <w:r>
        <w:t xml:space="preserve"> </w:t>
      </w:r>
      <w:r>
        <w:t xml:space="preserve">(Chiu 2004; Chen 2007)</w:t>
      </w:r>
      <w:r>
        <w:t xml:space="preserve">. We focus on the upper component because this component spans the periods when local residents interacted with the Europeans and the Chinese. In our study area, all excavation squares demonstrate signs of continuous human occupation throughout the upper component. Previous work divided the upper component into six analytical units, spanning from the 14th century to the 19th century, according to the types of chronologically diagnostic ceramics, excavation depth, consistency of contexts, and radiocarbon dates</w:t>
      </w:r>
      <w:r>
        <w:t xml:space="preserve"> </w:t>
      </w:r>
      <w:r>
        <w:t xml:space="preserve">(Hsieh 2009; Wang 2011)</w:t>
      </w:r>
      <w:r>
        <w:t xml:space="preserve">. To explore the changes in ornament assemblages over time associated with foreign impacts, we assigned the original excavation levels into three phases: before the European contact, after the European presence, and the presence of large Chinese immigrants.</w:t>
      </w:r>
    </w:p>
    <w:p>
      <w:pPr>
        <w:pStyle w:val="BodyText"/>
      </w:pPr>
      <w:r>
        <w:t xml:space="preserve">Despite the relatively short period of the European colonization in Taiwan (38-years-long Dutch occupation and 16-years-long Spanish occupation), the indirect impacts of the Europeans through trade networks could go beyond the temporal boundaries and last longer. This is because the use of foreign goods in many Indigenous societies often goes through the processes of negotiations, resistance, or transformation that a static time frame may not capture the processes well</w:t>
      </w:r>
      <w:r>
        <w:t xml:space="preserve"> </w:t>
      </w:r>
      <w:r>
        <w:t xml:space="preserve">(Scheiber &amp; Finley 2012)</w:t>
      </w:r>
      <w:r>
        <w:t xml:space="preserve">. Also, we acknowledged that a fine-grained identification of decades of the European presence from the archaeological record is challenging for this study based on three reasons. The current radiocarbon ages that are unable to provide a high resolution of time breaks, the circulation of foreign goods might start earlier before the official European presence in Taiwan, and the use of the foreign goods in Indigenous societies could continue after the end of the European colonization</w:t>
      </w:r>
      <w:r>
        <w:t xml:space="preserve"> </w:t>
      </w:r>
      <w:r>
        <w:t xml:space="preserve">(Mitchell &amp; Scheiber 2010)</w:t>
      </w:r>
      <w:r>
        <w:t xml:space="preserve">. However, those limitations can be minimized with pericolonial approaches that emphasize the wide-ranging effects of the colonial process, allowing discussion of indirect impacts on Indigenous societies with a more practical and dynamic framework not necessarily defined by a fixed colonial period with a start and an end time</w:t>
      </w:r>
      <w:r>
        <w:t xml:space="preserve"> </w:t>
      </w:r>
      <w:r>
        <w:t xml:space="preserve">(Trabert 2018; Scheiber &amp; Finley 2012)</w:t>
      </w:r>
      <w:r>
        <w:t xml:space="preserve">.</w:t>
      </w:r>
    </w:p>
    <w:p>
      <w:pPr>
        <w:pStyle w:val="BodyText"/>
      </w:pPr>
      <w:r>
        <w:t xml:space="preserve">We acknowledged the approach to study a continuum of changes of archaeological records over time to avoid the pitfall of temporal divides</w:t>
      </w:r>
      <w:r>
        <w:t xml:space="preserve"> </w:t>
      </w:r>
      <w:r>
        <w:t xml:space="preserve">(Scheiber &amp; Finley 2012)</w:t>
      </w:r>
      <w:r>
        <w:t xml:space="preserve">; however, we also admitted the convenience of using separated time periods for quantitative comparison between temporal groups of imported ornaments. To mitigate the conflict, we separated the ornaments based on the archaeological context that can reflect the acceptance of diagnostic imported goods by their relatively high frequencies as an indicator of indirect colonial impacts. That is, we separated the time periods into a certain period with foreign presence using the complete archaeological context that contains higher frequencies of time indicators instead of the first appearance of those indicators in a given layer. This method is reasonable because it allows a flexibility of imported goods entering Indigenous societies depending on the agency of local people, and a time framework for quantitative analysis for temporal and spatial changes of imported ornaments.</w:t>
      </w:r>
    </w:p>
    <w:p>
      <w:pPr>
        <w:pStyle w:val="Heading2"/>
      </w:pPr>
      <w:bookmarkStart w:id="26" w:name="method-for-assigning-ornaments"/>
      <w:r>
        <w:t xml:space="preserve">Method for assigning ornaments</w:t>
      </w:r>
      <w:bookmarkEnd w:id="26"/>
    </w:p>
    <w:p>
      <w:pPr>
        <w:pStyle w:val="FirstParagraph"/>
      </w:pPr>
      <w:r>
        <w:t xml:space="preserve">Based on the copies of original excavation records and fieldwork notes, we have made refinements of the original chronology to assign contexts into the pre-European, European, and the Chinese periods with six steps of assigning and evaluations. First, for each unit, we determined the artificial layer (mostly 10 cm) with indirect colonial impacts in terms of the higher frequency of time indicators representing the European and the Chinese period. Second, we identified the archaeological context (normally consists of 2-3 layers) where the layer belongs to based on the description of soil color, soil texture, and density of potsherds and charcoals. We took into account potsherds and charcoals based on the assumption that a larger population can be reflected by the dense distribution of potsherds and charcoals, and Kiwulan was the biggest settlement with a larger population in 1950</w:t>
      </w:r>
      <w:r>
        <w:t xml:space="preserve"> </w:t>
      </w:r>
      <w:r>
        <w:t xml:space="preserve">(Nakamura 1938: 12)</w:t>
      </w:r>
      <w:r>
        <w:t xml:space="preserve">. Third, we checked if there are radiocarbon ages associated with the context as a cross-validation. Since some radiocarbon ages represent long time ranges, we did not consider the ages that cannot provide useful information. Fourth, we explored any post-depositional issues that might affect the deposition of time indicators to ensure an appropriate assignment based on the fieldwork notes and excavation report. Fifth, we cross evaluated all adjacent squares to confirm a consistent, and continuous context between them. Sixth, we compared our chronology with six analytic units classified by previous studies to make a final decision</w:t>
      </w:r>
      <w:r>
        <w:t xml:space="preserve"> </w:t>
      </w:r>
      <w:r>
        <w:t xml:space="preserve">(Hsieh 2009; Wang 2011)</w:t>
      </w:r>
      <w:r>
        <w:t xml:space="preserve">. More detailed data information is provided in Supplementary Online Materials. After assigning the contexts into the pre-European contact, the European presence, and the Chinese presence, we decided the chronology of ornaments by examining in which context they were found. Through those assigning steps with validation rules, we believe our chronology is reasonable and suitable for discussing the indirect colonial impacts led by trade networks.</w:t>
      </w:r>
    </w:p>
    <w:p>
      <w:pPr>
        <w:pStyle w:val="BodyText"/>
      </w:pPr>
      <w:r>
        <w:t xml:space="preserve">The archaeological indicators of the indirect impact of the Europeans at Kiwulan are the higher frequency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but are frequently found in European shipwrecks from this period as vessels for transporting water, wine or other liquids on long voyages. The earliest evidence of light gray glazed jars in this region has been found among the cargo of the Spanish shipwreck</w:t>
      </w:r>
      <w:r>
        <w:t xml:space="preserve"> </w:t>
      </w:r>
      <w:r>
        <w:rPr>
          <w:i/>
        </w:rPr>
        <w:t xml:space="preserve">San Diego</w:t>
      </w:r>
      <w:r>
        <w:t xml:space="preserve">, which sunk in 1600 AD</w:t>
      </w:r>
      <w:r>
        <w:t xml:space="preserve"> </w:t>
      </w:r>
      <w:r>
        <w:t xml:space="preserve">(Dizon 2016;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brought them to Kiwulan: they might have been directly imported by Europeans, by Chinese merchants, or by Indigenous groups via regional networks in north Taiwan. In any case, the high volume of ceramics transported by Europeans, and their high mobility in the shipping trade played an important role in introducing foreign jars to Taiwan.</w:t>
      </w:r>
    </w:p>
    <w:p>
      <w:pPr>
        <w:pStyle w:val="BodyText"/>
      </w:pPr>
      <w:r>
        <w:t xml:space="preserve">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clay pipes and a few imported pipes were found at Kiwulan. Smoking is likely to have been introduced by Europeans. This custom was widely adopted in many European countries in the 16th century and spread to other regions through interactions</w:t>
      </w:r>
      <w:r>
        <w:t xml:space="preserve"> </w:t>
      </w:r>
      <w:r>
        <w:t xml:space="preserve">(Uçar 2019)</w:t>
      </w:r>
      <w:r>
        <w:t xml:space="preserve">. We found that the presence of pipe bowls in the archaeological record here is consistent with distributions of glazed jar fragments, which are far more numerous and widespread across the site (n = 1685). It should be noted that these temporal indicators might have been introduced before direct European contact by Chinese traders, and this could result in some uncertainty in identifying the start of European phase. However, the archaeological evidence shows that the layers with abundant trade ceramics match the 17th century according to the excavation report and previous studies</w:t>
      </w:r>
      <w:r>
        <w:t xml:space="preserve"> </w:t>
      </w:r>
      <w:r>
        <w:t xml:space="preserve">(Hsieh 2009; Wang 2011)</w:t>
      </w:r>
      <w:r>
        <w:t xml:space="preserve">. Thus, we focus on identifying the contexts with high frequencies of those ceramics as indicators the early 17th century.</w:t>
      </w:r>
    </w:p>
    <w:p>
      <w:pPr>
        <w:pStyle w:val="BodyText"/>
      </w:pPr>
      <w:r>
        <w:t xml:space="preserve">The archaeological signature of the Chinese period at Kiwulan is the large amount and diversity of Chinese porcelains in many styles and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 The details about the distribution of the temporal indicators, accompanied with stratigraphy data, radiocarbon dates, and archaeological contexts for each sampled excavation unit are provided in Supplementary Online Materials.</w:t>
      </w:r>
    </w:p>
    <w:p>
      <w:pPr>
        <w:pStyle w:val="CaptionedFigure"/>
      </w:pPr>
      <w:r>
        <w:drawing>
          <wp:inline>
            <wp:extent cx="5334000" cy="275546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 title="" id="1" name="Picture"/>
            <a:graphic>
              <a:graphicData uri="http://schemas.openxmlformats.org/drawingml/2006/picture">
                <pic:pic>
                  <pic:nvPicPr>
                    <pic:cNvPr descr="/Users/EmilyWang/Desktop/School%20document/LW-Paper/kwl-ornaments-2019/analysis/figures/plot-c14-ages-distribution.jpg" id="0" name="Picture"/>
                    <pic:cNvPicPr>
                      <a:picLocks noChangeArrowheads="1" noChangeAspect="1"/>
                    </pic:cNvPicPr>
                  </pic:nvPicPr>
                  <pic:blipFill>
                    <a:blip r:embed="rId27"/>
                    <a:stretch>
                      <a:fillRect/>
                    </a:stretch>
                  </pic:blipFill>
                  <pic:spPr bwMode="auto">
                    <a:xfrm>
                      <a:off x="0" y="0"/>
                      <a:ext cx="5334000" cy="275546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For the upper component, the red line indicates the start of European presence, while the blue line is the Chinese presence. Ages calibrated with the Bchron package (Parnell et al. 2008)</w:t>
      </w:r>
    </w:p>
    <w:p>
      <w:pPr>
        <w:pStyle w:val="TableCaption"/>
      </w:pPr>
      <w:r>
        <w:t xml:space="preserve">Table 1: Radiocarbon ages from charcoal samples excavated from Kiwulan (Chen 2007), calibrated using IntCal13 Atmospheric curve. All depth is recorded in centimeters above mean sea level. The codes in the context column refer to the excavator’s feature labels, cf. Chen 2007</w:t>
      </w:r>
    </w:p>
    <w:tbl>
      <w:tblPr>
        <w:tblStyle w:val="Table"/>
        <w:tblW w:type="pct" w:w="0.0"/>
        <w:tblLook w:firstRow="1"/>
        <w:tblCaption w:val="Table 1: Radiocarbon ages from charcoal samples excavated from Kiwulan (Chen 2007), calibrated using IntCal13 Atmospheric curve. All depth is recorded in centimeters above mean sea level. The codes in the context column refer to the excavator’s feature labels, cf. Chen 2007"/>
      </w:tblPr>
      <w:tblGrid/>
      <w:tr>
        <w:trPr>
          <w:cnfStyle w:firstRow="1"/>
        </w:trPr>
        <w:tc>
          <w:tcPr>
            <w:tcBorders>
              <w:bottom w:val="single"/>
            </w:tcBorders>
            <w:vAlign w:val="bottom"/>
          </w:tcPr>
          <w:p>
            <w:pPr>
              <w:pStyle w:val="Compact"/>
              <w:jc w:val="left"/>
            </w:pPr>
            <w:r>
              <w:t xml:space="preserve">Lab code</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(cm)</w:t>
            </w:r>
          </w:p>
        </w:tc>
        <w:tc>
          <w:tcPr>
            <w:tcBorders>
              <w:bottom w:val="single"/>
            </w:tcBorders>
            <w:vAlign w:val="bottom"/>
          </w:tcPr>
          <w:p>
            <w:pPr>
              <w:pStyle w:val="Compact"/>
              <w:jc w:val="left"/>
            </w:pPr>
            <w:r>
              <w:t xml:space="preserve">Uncalibrated Age BP</w:t>
            </w:r>
          </w:p>
        </w:tc>
        <w:tc>
          <w:tcPr>
            <w:tcBorders>
              <w:bottom w:val="single"/>
            </w:tcBorders>
            <w:vAlign w:val="bottom"/>
          </w:tcPr>
          <w:p>
            <w:pPr>
              <w:pStyle w:val="Compact"/>
              <w:jc w:val="left"/>
            </w:pPr>
            <w:r>
              <w:t xml:space="preserve">Calibrated Age BP (95% credible interval)</w:t>
            </w:r>
          </w:p>
        </w:tc>
        <w:tc>
          <w:tcPr>
            <w:tcBorders>
              <w:bottom w:val="single"/>
            </w:tcBorders>
            <w:vAlign w:val="bottom"/>
          </w:tcPr>
          <w:p>
            <w:pPr>
              <w:pStyle w:val="Compact"/>
              <w:jc w:val="left"/>
            </w:pPr>
            <w:r>
              <w:t xml:space="preserve">Context</w:t>
            </w:r>
          </w:p>
        </w:tc>
      </w:tr>
      <w:tr>
        <w:tc>
          <w:p>
            <w:pPr>
              <w:pStyle w:val="Compact"/>
              <w:jc w:val="left"/>
            </w:pPr>
            <w:r>
              <w:t xml:space="preserve">NTU-3803</w:t>
            </w:r>
          </w:p>
        </w:tc>
        <w:tc>
          <w:p>
            <w:pPr>
              <w:pStyle w:val="Compact"/>
              <w:jc w:val="left"/>
            </w:pPr>
            <w:r>
              <w:t xml:space="preserve">P052-L7</w:t>
            </w:r>
          </w:p>
        </w:tc>
        <w:tc>
          <w:p>
            <w:pPr>
              <w:pStyle w:val="Compact"/>
              <w:jc w:val="left"/>
            </w:pPr>
            <w:r>
              <w:t xml:space="preserve">0 to -10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NTU-3925</w:t>
            </w:r>
          </w:p>
        </w:tc>
        <w:tc>
          <w:p>
            <w:pPr>
              <w:pStyle w:val="Compact"/>
              <w:jc w:val="left"/>
            </w:pPr>
            <w:r>
              <w:t xml:space="preserve">P051-L17</w:t>
            </w:r>
          </w:p>
        </w:tc>
        <w:tc>
          <w:p>
            <w:pPr>
              <w:pStyle w:val="Compact"/>
              <w:jc w:val="left"/>
            </w:pPr>
            <w:r>
              <w:t xml:space="preserve">-36 to -56</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NTU-3943</w:t>
            </w:r>
          </w:p>
        </w:tc>
        <w:tc>
          <w:p>
            <w:pPr>
              <w:pStyle w:val="Compact"/>
              <w:jc w:val="left"/>
            </w:pPr>
            <w:r>
              <w:t xml:space="preserve">P051-L19</w:t>
            </w:r>
          </w:p>
        </w:tc>
        <w:tc>
          <w:p>
            <w:pPr>
              <w:pStyle w:val="Compact"/>
              <w:jc w:val="left"/>
            </w:pPr>
            <w:r>
              <w:t xml:space="preserve">-70 to -90</w:t>
            </w:r>
          </w:p>
        </w:tc>
        <w:tc>
          <w:p>
            <w:pPr>
              <w:pStyle w:val="Compact"/>
              <w:jc w:val="left"/>
            </w:pPr>
            <w:r>
              <w:t xml:space="preserve">&lt;200</w:t>
            </w:r>
          </w:p>
        </w:tc>
        <w:tc>
          <w:p/>
        </w:tc>
        <w:tc>
          <w:p>
            <w:pPr>
              <w:pStyle w:val="Compact"/>
              <w:jc w:val="left"/>
            </w:pPr>
            <w:r>
              <w:t xml:space="preserve">sterile deposit</w:t>
            </w:r>
          </w:p>
        </w:tc>
      </w:tr>
      <w:tr>
        <w:tc>
          <w:p>
            <w:pPr>
              <w:pStyle w:val="Compact"/>
              <w:jc w:val="left"/>
            </w:pPr>
            <w:r>
              <w:t xml:space="preserve">NTU-4283</w:t>
            </w:r>
          </w:p>
        </w:tc>
        <w:tc>
          <w:p>
            <w:pPr>
              <w:pStyle w:val="Compact"/>
              <w:jc w:val="left"/>
            </w:pPr>
            <w:r>
              <w:t xml:space="preserve">P063-L12</w:t>
            </w:r>
          </w:p>
        </w:tc>
        <w:tc>
          <w:p>
            <w:pPr>
              <w:pStyle w:val="Compact"/>
              <w:jc w:val="left"/>
            </w:pPr>
            <w:r>
              <w:t xml:space="preserve">-30 to -70</w:t>
            </w:r>
          </w:p>
        </w:tc>
        <w:tc>
          <w:p>
            <w:pPr>
              <w:pStyle w:val="Compact"/>
              <w:jc w:val="left"/>
            </w:pPr>
            <w:r>
              <w:t xml:space="preserve">&lt;200</w:t>
            </w:r>
          </w:p>
        </w:tc>
        <w:tc>
          <w:p/>
        </w:tc>
        <w:tc>
          <w:p>
            <w:pPr>
              <w:pStyle w:val="Compact"/>
              <w:jc w:val="left"/>
            </w:pPr>
            <w:r>
              <w:t xml:space="preserve">midden H044</w:t>
            </w:r>
          </w:p>
        </w:tc>
      </w:tr>
      <w:tr>
        <w:tc>
          <w:p>
            <w:pPr>
              <w:pStyle w:val="Compact"/>
              <w:jc w:val="left"/>
            </w:pPr>
            <w:r>
              <w:t xml:space="preserve">NTU-4293</w:t>
            </w:r>
          </w:p>
        </w:tc>
        <w:tc>
          <w:p>
            <w:pPr>
              <w:pStyle w:val="Compact"/>
              <w:jc w:val="left"/>
            </w:pPr>
            <w:r>
              <w:t xml:space="preserve">P089-L11</w:t>
            </w:r>
          </w:p>
        </w:tc>
        <w:tc>
          <w:p>
            <w:pPr>
              <w:pStyle w:val="Compact"/>
              <w:jc w:val="left"/>
            </w:pPr>
            <w:r>
              <w:t xml:space="preserve">-50 to -70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NTU-4305</w:t>
            </w:r>
          </w:p>
        </w:tc>
        <w:tc>
          <w:p>
            <w:pPr>
              <w:pStyle w:val="Compact"/>
              <w:jc w:val="left"/>
            </w:pPr>
            <w:r>
              <w:t xml:space="preserve">P089-L7</w:t>
            </w:r>
          </w:p>
        </w:tc>
        <w:tc>
          <w:p>
            <w:pPr>
              <w:pStyle w:val="Compact"/>
              <w:jc w:val="left"/>
            </w:pPr>
            <w:r>
              <w:t xml:space="preserve">-20 to -30</w:t>
            </w:r>
          </w:p>
        </w:tc>
        <w:tc>
          <w:p>
            <w:pPr>
              <w:pStyle w:val="Compact"/>
              <w:jc w:val="left"/>
            </w:pPr>
            <w:r>
              <w:t xml:space="preserve">&lt;200</w:t>
            </w:r>
          </w:p>
        </w:tc>
        <w:tc>
          <w:p/>
        </w:tc>
        <w:tc>
          <w:p>
            <w:pPr>
              <w:pStyle w:val="Compact"/>
              <w:jc w:val="left"/>
            </w:pPr>
            <w:r>
              <w:t xml:space="preserve">artefact-bearing deposit</w:t>
            </w:r>
          </w:p>
        </w:tc>
      </w:tr>
      <w:tr>
        <w:tc>
          <w:p>
            <w:pPr>
              <w:pStyle w:val="Compact"/>
              <w:jc w:val="left"/>
            </w:pPr>
            <w:r>
              <w:t xml:space="preserve">NTU-4322</w:t>
            </w:r>
          </w:p>
        </w:tc>
        <w:tc>
          <w:p>
            <w:pPr>
              <w:pStyle w:val="Compact"/>
              <w:jc w:val="left"/>
            </w:pPr>
            <w:r>
              <w:t xml:space="preserve">P051-L11</w:t>
            </w:r>
          </w:p>
        </w:tc>
        <w:tc>
          <w:p>
            <w:pPr>
              <w:pStyle w:val="Compact"/>
              <w:jc w:val="left"/>
            </w:pPr>
            <w:r>
              <w:t xml:space="preserve">0 to -40</w:t>
            </w:r>
          </w:p>
        </w:tc>
        <w:tc>
          <w:p>
            <w:pPr>
              <w:pStyle w:val="Compact"/>
              <w:jc w:val="left"/>
            </w:pPr>
            <w:r>
              <w:t xml:space="preserve">&lt;200</w:t>
            </w:r>
          </w:p>
        </w:tc>
        <w:tc>
          <w:p/>
        </w:tc>
        <w:tc>
          <w:p>
            <w:pPr>
              <w:pStyle w:val="Compact"/>
              <w:jc w:val="left"/>
            </w:pPr>
            <w:r>
              <w:t xml:space="preserve">midden H026</w:t>
            </w:r>
          </w:p>
        </w:tc>
      </w:tr>
      <w:tr>
        <w:tc>
          <w:p>
            <w:pPr>
              <w:pStyle w:val="Compact"/>
              <w:jc w:val="left"/>
            </w:pPr>
            <w:r>
              <w:t xml:space="preserve">NTU-4323</w:t>
            </w:r>
          </w:p>
        </w:tc>
        <w:tc>
          <w:p>
            <w:pPr>
              <w:pStyle w:val="Compact"/>
              <w:jc w:val="left"/>
            </w:pPr>
            <w:r>
              <w:t xml:space="preserve">P070-L3</w:t>
            </w:r>
          </w:p>
        </w:tc>
        <w:tc>
          <w:p>
            <w:pPr>
              <w:pStyle w:val="Compact"/>
              <w:jc w:val="left"/>
            </w:pPr>
            <w:r>
              <w:t xml:space="preserve">20 to -57</w:t>
            </w:r>
          </w:p>
        </w:tc>
        <w:tc>
          <w:p>
            <w:pPr>
              <w:pStyle w:val="Compact"/>
              <w:jc w:val="left"/>
            </w:pPr>
            <w:r>
              <w:t xml:space="preserve">&lt;200</w:t>
            </w:r>
          </w:p>
        </w:tc>
        <w:tc>
          <w:p/>
        </w:tc>
        <w:tc>
          <w:p>
            <w:pPr>
              <w:pStyle w:val="Compact"/>
              <w:jc w:val="left"/>
            </w:pPr>
            <w:r>
              <w:t xml:space="preserve">burial M095</w:t>
            </w:r>
          </w:p>
        </w:tc>
      </w:tr>
      <w:tr>
        <w:tc>
          <w:p>
            <w:pPr>
              <w:pStyle w:val="Compact"/>
              <w:jc w:val="left"/>
            </w:pPr>
            <w:r>
              <w:t xml:space="preserve">NTU-3993</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4-433</w:t>
            </w:r>
          </w:p>
        </w:tc>
        <w:tc>
          <w:p>
            <w:pPr>
              <w:pStyle w:val="Compact"/>
              <w:jc w:val="left"/>
            </w:pPr>
            <w:r>
              <w:t xml:space="preserve">artefact-bearing deposit</w:t>
            </w:r>
          </w:p>
        </w:tc>
      </w:tr>
      <w:tr>
        <w:tc>
          <w:p>
            <w:pPr>
              <w:pStyle w:val="Compact"/>
              <w:jc w:val="left"/>
            </w:pPr>
            <w:r>
              <w:t xml:space="preserve">NTU-4419</w:t>
            </w:r>
          </w:p>
        </w:tc>
        <w:tc>
          <w:p>
            <w:pPr>
              <w:pStyle w:val="Compact"/>
              <w:jc w:val="left"/>
            </w:pPr>
            <w:r>
              <w:t xml:space="preserve">P162-L3</w:t>
            </w:r>
          </w:p>
        </w:tc>
        <w:tc>
          <w:p>
            <w:pPr>
              <w:pStyle w:val="Compact"/>
              <w:jc w:val="left"/>
            </w:pPr>
            <w:r>
              <w:t xml:space="preserve">-10 to -110</w:t>
            </w:r>
          </w:p>
        </w:tc>
        <w:tc>
          <w:p>
            <w:pPr>
              <w:pStyle w:val="Compact"/>
              <w:jc w:val="left"/>
            </w:pPr>
            <w:r>
              <w:t xml:space="preserve">280±70</w:t>
            </w:r>
          </w:p>
        </w:tc>
        <w:tc>
          <w:p>
            <w:pPr>
              <w:pStyle w:val="Compact"/>
              <w:jc w:val="left"/>
            </w:pPr>
            <w:r>
              <w:t xml:space="preserve">12-484</w:t>
            </w:r>
          </w:p>
        </w:tc>
        <w:tc>
          <w:p>
            <w:pPr>
              <w:pStyle w:val="Compact"/>
              <w:jc w:val="left"/>
            </w:pPr>
            <w:r>
              <w:t xml:space="preserve">midden H172</w:t>
            </w:r>
          </w:p>
        </w:tc>
      </w:tr>
      <w:tr>
        <w:tc>
          <w:p>
            <w:pPr>
              <w:pStyle w:val="Compact"/>
              <w:jc w:val="left"/>
            </w:pPr>
            <w:r>
              <w:t xml:space="preserve">NTU-4311</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16-513</w:t>
            </w:r>
          </w:p>
        </w:tc>
        <w:tc>
          <w:p>
            <w:pPr>
              <w:pStyle w:val="Compact"/>
              <w:jc w:val="left"/>
            </w:pPr>
            <w:r>
              <w:t xml:space="preserve">artefact-bearing deposit</w:t>
            </w:r>
          </w:p>
        </w:tc>
      </w:tr>
      <w:tr>
        <w:tc>
          <w:p>
            <w:pPr>
              <w:pStyle w:val="Compact"/>
              <w:jc w:val="left"/>
            </w:pPr>
            <w:r>
              <w:t xml:space="preserve">NTU-4320</w:t>
            </w:r>
          </w:p>
        </w:tc>
        <w:tc>
          <w:p>
            <w:pPr>
              <w:pStyle w:val="Compact"/>
              <w:jc w:val="left"/>
            </w:pPr>
            <w:r>
              <w:t xml:space="preserve">P168-L1</w:t>
            </w:r>
          </w:p>
        </w:tc>
        <w:tc>
          <w:p>
            <w:pPr>
              <w:pStyle w:val="Compact"/>
              <w:jc w:val="left"/>
            </w:pPr>
            <w:r>
              <w:t xml:space="preserve">6 to -51</w:t>
            </w:r>
          </w:p>
        </w:tc>
        <w:tc>
          <w:p>
            <w:pPr>
              <w:pStyle w:val="Compact"/>
              <w:jc w:val="left"/>
            </w:pPr>
            <w:r>
              <w:t xml:space="preserve">340±100</w:t>
            </w:r>
          </w:p>
        </w:tc>
        <w:tc>
          <w:p>
            <w:pPr>
              <w:pStyle w:val="Compact"/>
              <w:jc w:val="left"/>
            </w:pPr>
            <w:r>
              <w:t xml:space="preserve">30-529</w:t>
            </w:r>
          </w:p>
        </w:tc>
        <w:tc>
          <w:p>
            <w:pPr>
              <w:pStyle w:val="Compact"/>
              <w:jc w:val="left"/>
            </w:pPr>
            <w:r>
              <w:t xml:space="preserve">midden H193</w:t>
            </w:r>
          </w:p>
        </w:tc>
      </w:tr>
      <w:tr>
        <w:tc>
          <w:p>
            <w:pPr>
              <w:pStyle w:val="Compact"/>
              <w:jc w:val="left"/>
            </w:pPr>
            <w:r>
              <w:t xml:space="preserve">NTU-4016</w:t>
            </w:r>
          </w:p>
        </w:tc>
        <w:tc>
          <w:p>
            <w:pPr>
              <w:pStyle w:val="Compact"/>
              <w:jc w:val="left"/>
            </w:pPr>
            <w:r>
              <w:t xml:space="preserve">P028-L9</w:t>
            </w:r>
          </w:p>
        </w:tc>
        <w:tc>
          <w:p>
            <w:pPr>
              <w:pStyle w:val="Compact"/>
              <w:jc w:val="left"/>
            </w:pPr>
            <w:r>
              <w:t xml:space="preserve">-44 to -80</w:t>
            </w:r>
          </w:p>
        </w:tc>
        <w:tc>
          <w:p>
            <w:pPr>
              <w:pStyle w:val="Compact"/>
              <w:jc w:val="left"/>
            </w:pPr>
            <w:r>
              <w:t xml:space="preserve">270±40</w:t>
            </w:r>
          </w:p>
        </w:tc>
        <w:tc>
          <w:p>
            <w:pPr>
              <w:pStyle w:val="Compact"/>
              <w:jc w:val="left"/>
            </w:pPr>
            <w:r>
              <w:t xml:space="preserve">149-454</w:t>
            </w:r>
          </w:p>
        </w:tc>
        <w:tc>
          <w:p>
            <w:pPr>
              <w:pStyle w:val="Compact"/>
              <w:jc w:val="left"/>
            </w:pPr>
            <w:r>
              <w:t xml:space="preserve">burial M020</w:t>
            </w:r>
          </w:p>
        </w:tc>
      </w:tr>
      <w:tr>
        <w:tc>
          <w:p>
            <w:pPr>
              <w:pStyle w:val="Compact"/>
              <w:jc w:val="left"/>
            </w:pPr>
            <w:r>
              <w:t xml:space="preserve">NTU-4310</w:t>
            </w:r>
          </w:p>
        </w:tc>
        <w:tc>
          <w:p>
            <w:pPr>
              <w:pStyle w:val="Compact"/>
              <w:jc w:val="left"/>
            </w:pPr>
            <w:r>
              <w:t xml:space="preserve">P018-L2</w:t>
            </w:r>
          </w:p>
        </w:tc>
        <w:tc>
          <w:p>
            <w:pPr>
              <w:pStyle w:val="Compact"/>
              <w:jc w:val="left"/>
            </w:pPr>
            <w:r>
              <w:t xml:space="preserve">-28 to -70</w:t>
            </w:r>
          </w:p>
        </w:tc>
        <w:tc>
          <w:p>
            <w:pPr>
              <w:pStyle w:val="Compact"/>
              <w:jc w:val="left"/>
            </w:pPr>
            <w:r>
              <w:t xml:space="preserve">360±100</w:t>
            </w:r>
          </w:p>
        </w:tc>
        <w:tc>
          <w:p>
            <w:pPr>
              <w:pStyle w:val="Compact"/>
              <w:jc w:val="left"/>
            </w:pPr>
            <w:r>
              <w:t xml:space="preserve">91-547</w:t>
            </w:r>
          </w:p>
        </w:tc>
        <w:tc>
          <w:p>
            <w:pPr>
              <w:pStyle w:val="Compact"/>
              <w:jc w:val="left"/>
            </w:pPr>
            <w:r>
              <w:t xml:space="preserve">burial M039</w:t>
            </w:r>
          </w:p>
        </w:tc>
      </w:tr>
      <w:tr>
        <w:tc>
          <w:p>
            <w:pPr>
              <w:pStyle w:val="Compact"/>
              <w:jc w:val="left"/>
            </w:pPr>
            <w:r>
              <w:t xml:space="preserve">NTU-3791</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315-483</w:t>
            </w:r>
          </w:p>
        </w:tc>
        <w:tc>
          <w:p>
            <w:pPr>
              <w:pStyle w:val="Compact"/>
              <w:jc w:val="left"/>
            </w:pPr>
            <w:r>
              <w:t xml:space="preserve">artefact-bearing deposit</w:t>
            </w:r>
          </w:p>
        </w:tc>
      </w:tr>
      <w:tr>
        <w:tc>
          <w:p>
            <w:pPr>
              <w:pStyle w:val="Compact"/>
              <w:jc w:val="left"/>
            </w:pPr>
            <w:r>
              <w:t xml:space="preserve">NTU-4292</w:t>
            </w:r>
          </w:p>
        </w:tc>
        <w:tc>
          <w:p>
            <w:pPr>
              <w:pStyle w:val="Compact"/>
              <w:jc w:val="left"/>
            </w:pPr>
            <w:r>
              <w:t xml:space="preserve">P052-L6</w:t>
            </w:r>
          </w:p>
        </w:tc>
        <w:tc>
          <w:p>
            <w:pPr>
              <w:pStyle w:val="Compact"/>
              <w:jc w:val="left"/>
            </w:pPr>
            <w:r>
              <w:t xml:space="preserve">4 to -56</w:t>
            </w:r>
          </w:p>
        </w:tc>
        <w:tc>
          <w:p>
            <w:pPr>
              <w:pStyle w:val="Compact"/>
              <w:jc w:val="left"/>
            </w:pPr>
            <w:r>
              <w:t xml:space="preserve">510±75</w:t>
            </w:r>
          </w:p>
        </w:tc>
        <w:tc>
          <w:p>
            <w:pPr>
              <w:pStyle w:val="Compact"/>
              <w:jc w:val="left"/>
            </w:pPr>
            <w:r>
              <w:t xml:space="preserve">345-648</w:t>
            </w:r>
          </w:p>
        </w:tc>
        <w:tc>
          <w:p>
            <w:pPr>
              <w:pStyle w:val="Compact"/>
              <w:jc w:val="left"/>
            </w:pPr>
            <w:r>
              <w:t xml:space="preserve">burial M009</w:t>
            </w:r>
          </w:p>
        </w:tc>
      </w:tr>
      <w:tr>
        <w:tc>
          <w:p>
            <w:pPr>
              <w:pStyle w:val="Compact"/>
              <w:jc w:val="left"/>
            </w:pPr>
            <w:r>
              <w:t xml:space="preserve">NTU-4304</w:t>
            </w:r>
          </w:p>
        </w:tc>
        <w:tc>
          <w:p>
            <w:pPr>
              <w:pStyle w:val="Compact"/>
              <w:jc w:val="left"/>
            </w:pPr>
            <w:r>
              <w:t xml:space="preserve">P066-L11</w:t>
            </w:r>
          </w:p>
        </w:tc>
        <w:tc>
          <w:p>
            <w:pPr>
              <w:pStyle w:val="Compact"/>
              <w:jc w:val="left"/>
            </w:pPr>
            <w:r>
              <w:t xml:space="preserve">-40 to -60</w:t>
            </w:r>
          </w:p>
        </w:tc>
        <w:tc>
          <w:p>
            <w:pPr>
              <w:pStyle w:val="Compact"/>
              <w:jc w:val="left"/>
            </w:pPr>
            <w:r>
              <w:t xml:space="preserve">600±75</w:t>
            </w:r>
          </w:p>
        </w:tc>
        <w:tc>
          <w:p>
            <w:pPr>
              <w:pStyle w:val="Compact"/>
              <w:jc w:val="left"/>
            </w:pPr>
            <w:r>
              <w:t xml:space="preserve">515-675</w:t>
            </w:r>
          </w:p>
        </w:tc>
        <w:tc>
          <w:p>
            <w:pPr>
              <w:pStyle w:val="Compact"/>
              <w:jc w:val="left"/>
            </w:pPr>
            <w:r>
              <w:t xml:space="preserve">artefact-bearing deposit</w:t>
            </w:r>
          </w:p>
        </w:tc>
      </w:tr>
      <w:tr>
        <w:tc>
          <w:p>
            <w:pPr>
              <w:pStyle w:val="Compact"/>
              <w:jc w:val="left"/>
            </w:pPr>
            <w:r>
              <w:t xml:space="preserve">NTU-4423</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502-710</w:t>
            </w:r>
          </w:p>
        </w:tc>
        <w:tc>
          <w:p>
            <w:pPr>
              <w:pStyle w:val="Compact"/>
              <w:jc w:val="left"/>
            </w:pPr>
            <w:r>
              <w:t xml:space="preserve">artefact-bearing deposit</w:t>
            </w:r>
          </w:p>
        </w:tc>
      </w:tr>
      <w:tr>
        <w:tc>
          <w:p>
            <w:pPr>
              <w:pStyle w:val="Compact"/>
              <w:jc w:val="left"/>
            </w:pPr>
            <w:r>
              <w:t xml:space="preserve">NTU-4315</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561-951</w:t>
            </w:r>
          </w:p>
        </w:tc>
        <w:tc>
          <w:p>
            <w:pPr>
              <w:pStyle w:val="Compact"/>
              <w:jc w:val="left"/>
            </w:pPr>
            <w:r>
              <w:t xml:space="preserve">artefact-bearing deposit</w:t>
            </w:r>
          </w:p>
        </w:tc>
      </w:tr>
      <w:tr>
        <w:tc>
          <w:p>
            <w:pPr>
              <w:pStyle w:val="Compact"/>
              <w:jc w:val="left"/>
            </w:pPr>
            <w:r>
              <w:t xml:space="preserve">NTU-3926</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715-916</w:t>
            </w:r>
          </w:p>
        </w:tc>
        <w:tc>
          <w:p>
            <w:pPr>
              <w:pStyle w:val="Compact"/>
              <w:jc w:val="left"/>
            </w:pPr>
            <w:r>
              <w:t xml:space="preserve">sterile deposit</w:t>
            </w:r>
          </w:p>
        </w:tc>
      </w:tr>
      <w:tr>
        <w:tc>
          <w:p>
            <w:pPr>
              <w:pStyle w:val="Compact"/>
              <w:jc w:val="left"/>
            </w:pPr>
            <w:r>
              <w:t xml:space="preserve">NTU-4421</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707-953</w:t>
            </w:r>
          </w:p>
        </w:tc>
        <w:tc>
          <w:p>
            <w:pPr>
              <w:pStyle w:val="Compact"/>
              <w:jc w:val="left"/>
            </w:pPr>
            <w:r>
              <w:t xml:space="preserve">artefact-bearing deposit</w:t>
            </w:r>
          </w:p>
        </w:tc>
      </w:tr>
      <w:tr>
        <w:tc>
          <w:p>
            <w:pPr>
              <w:pStyle w:val="Compact"/>
              <w:jc w:val="left"/>
            </w:pPr>
            <w:r>
              <w:t xml:space="preserve">NTU-4319</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684-1052</w:t>
            </w:r>
          </w:p>
        </w:tc>
        <w:tc>
          <w:p>
            <w:pPr>
              <w:pStyle w:val="Compact"/>
              <w:jc w:val="left"/>
            </w:pPr>
            <w:r>
              <w:t xml:space="preserve">artefact-bearing deposit</w:t>
            </w:r>
          </w:p>
        </w:tc>
      </w:tr>
      <w:tr>
        <w:tc>
          <w:p>
            <w:pPr>
              <w:pStyle w:val="Compact"/>
              <w:jc w:val="left"/>
            </w:pPr>
            <w:r>
              <w:t xml:space="preserve">NTU-4430</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795-1057</w:t>
            </w:r>
          </w:p>
        </w:tc>
        <w:tc>
          <w:p>
            <w:pPr>
              <w:pStyle w:val="Compact"/>
              <w:jc w:val="left"/>
            </w:pPr>
            <w:r>
              <w:t xml:space="preserve">sterile deposit</w:t>
            </w:r>
          </w:p>
        </w:tc>
      </w:tr>
      <w:tr>
        <w:tc>
          <w:p>
            <w:pPr>
              <w:pStyle w:val="Compact"/>
              <w:jc w:val="left"/>
            </w:pPr>
            <w:r>
              <w:t xml:space="preserve">NTU-3788</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860-1051</w:t>
            </w:r>
          </w:p>
        </w:tc>
        <w:tc>
          <w:p>
            <w:pPr>
              <w:pStyle w:val="Compact"/>
              <w:jc w:val="left"/>
            </w:pPr>
            <w:r>
              <w:t xml:space="preserve">artefact-bearing deposit</w:t>
            </w:r>
          </w:p>
        </w:tc>
      </w:tr>
      <w:tr>
        <w:tc>
          <w:p>
            <w:pPr>
              <w:pStyle w:val="Compact"/>
              <w:jc w:val="left"/>
            </w:pPr>
            <w:r>
              <w:t xml:space="preserve">NTU-4422</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769-1157</w:t>
            </w:r>
          </w:p>
        </w:tc>
        <w:tc>
          <w:p>
            <w:pPr>
              <w:pStyle w:val="Compact"/>
              <w:jc w:val="left"/>
            </w:pPr>
            <w:r>
              <w:t xml:space="preserve">artefact-bearing deposit</w:t>
            </w:r>
          </w:p>
        </w:tc>
      </w:tr>
      <w:tr>
        <w:tc>
          <w:p>
            <w:pPr>
              <w:pStyle w:val="Compact"/>
              <w:jc w:val="left"/>
            </w:pPr>
            <w:r>
              <w:t xml:space="preserve">NTU-4428</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802-1225</w:t>
            </w:r>
          </w:p>
        </w:tc>
        <w:tc>
          <w:p>
            <w:pPr>
              <w:pStyle w:val="Compact"/>
              <w:jc w:val="left"/>
            </w:pPr>
            <w:r>
              <w:t xml:space="preserve">artefact-bearing deposit</w:t>
            </w:r>
          </w:p>
        </w:tc>
      </w:tr>
      <w:tr>
        <w:tc>
          <w:p>
            <w:pPr>
              <w:pStyle w:val="Compact"/>
              <w:jc w:val="left"/>
            </w:pPr>
            <w:r>
              <w:t xml:space="preserve">NTU-4427</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956-1256</w:t>
            </w:r>
          </w:p>
        </w:tc>
        <w:tc>
          <w:p>
            <w:pPr>
              <w:pStyle w:val="Compact"/>
              <w:jc w:val="left"/>
            </w:pPr>
            <w:r>
              <w:t xml:space="preserve">artefact-bearing deposit</w:t>
            </w:r>
          </w:p>
        </w:tc>
      </w:tr>
      <w:tr>
        <w:tc>
          <w:p>
            <w:pPr>
              <w:pStyle w:val="Compact"/>
              <w:jc w:val="left"/>
            </w:pPr>
            <w:r>
              <w:t xml:space="preserve">NTU-4316</w:t>
            </w:r>
          </w:p>
        </w:tc>
        <w:tc>
          <w:p>
            <w:pPr>
              <w:pStyle w:val="Compact"/>
              <w:jc w:val="left"/>
            </w:pPr>
            <w:r>
              <w:t xml:space="preserve">P019-L5</w:t>
            </w:r>
          </w:p>
        </w:tc>
        <w:tc>
          <w:p>
            <w:pPr>
              <w:pStyle w:val="Compact"/>
              <w:jc w:val="left"/>
            </w:pPr>
            <w:r>
              <w:t xml:space="preserve">-100 to -120</w:t>
            </w:r>
          </w:p>
        </w:tc>
        <w:tc>
          <w:p>
            <w:pPr>
              <w:pStyle w:val="Compact"/>
              <w:jc w:val="left"/>
            </w:pPr>
            <w:r>
              <w:t xml:space="preserve">1190±70</w:t>
            </w:r>
          </w:p>
        </w:tc>
        <w:tc>
          <w:p>
            <w:pPr>
              <w:pStyle w:val="Compact"/>
              <w:jc w:val="left"/>
            </w:pPr>
            <w:r>
              <w:t xml:space="preserve">966-1266</w:t>
            </w:r>
          </w:p>
        </w:tc>
        <w:tc>
          <w:p>
            <w:pPr>
              <w:pStyle w:val="Compact"/>
              <w:jc w:val="left"/>
            </w:pPr>
            <w:r>
              <w:t xml:space="preserve">burial M066</w:t>
            </w:r>
          </w:p>
        </w:tc>
      </w:tr>
      <w:tr>
        <w:tc>
          <w:p>
            <w:pPr>
              <w:pStyle w:val="Compact"/>
              <w:jc w:val="left"/>
            </w:pPr>
            <w:r>
              <w:t xml:space="preserve">NTU-3792</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1076-1264</w:t>
            </w:r>
          </w:p>
        </w:tc>
        <w:tc>
          <w:p>
            <w:pPr>
              <w:pStyle w:val="Compact"/>
              <w:jc w:val="left"/>
            </w:pPr>
            <w:r>
              <w:t xml:space="preserve">artefact-bearing deposit</w:t>
            </w:r>
          </w:p>
        </w:tc>
      </w:tr>
      <w:tr>
        <w:tc>
          <w:p>
            <w:pPr>
              <w:pStyle w:val="Compact"/>
              <w:jc w:val="left"/>
            </w:pPr>
            <w:r>
              <w:t xml:space="preserve">NTU-4434</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1291-1525</w:t>
            </w:r>
          </w:p>
        </w:tc>
        <w:tc>
          <w:p>
            <w:pPr>
              <w:pStyle w:val="Compact"/>
              <w:jc w:val="left"/>
            </w:pPr>
            <w:r>
              <w:t xml:space="preserve">artefact-bearing deposit</w:t>
            </w:r>
          </w:p>
        </w:tc>
      </w:tr>
      <w:tr>
        <w:tc>
          <w:p>
            <w:pPr>
              <w:pStyle w:val="Compact"/>
              <w:jc w:val="left"/>
            </w:pPr>
            <w:r>
              <w:t xml:space="preserve">NTU-4321</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1563-2083</w:t>
            </w:r>
          </w:p>
        </w:tc>
        <w:tc>
          <w:p>
            <w:pPr>
              <w:pStyle w:val="Compact"/>
              <w:jc w:val="left"/>
            </w:pPr>
            <w:r>
              <w:t xml:space="preserve">artefact-bearing deposit</w:t>
            </w:r>
          </w:p>
        </w:tc>
      </w:tr>
    </w:tbl>
    <w:p>
      <w:pPr>
        <w:pStyle w:val="Heading1"/>
      </w:pPr>
      <w:bookmarkStart w:id="28" w:name="the-personal-ornaments"/>
      <w:r>
        <w:t xml:space="preserve">The personal ornaments</w:t>
      </w:r>
      <w:bookmarkEnd w:id="28"/>
    </w:p>
    <w:p>
      <w:pPr>
        <w:pStyle w:val="FirstParagraph"/>
      </w:pPr>
      <w:r>
        <w:t xml:space="preserve">Ornaments (Figure</w:t>
      </w:r>
      <w:r>
        <w:t xml:space="preserve"> </w:t>
      </w:r>
      <w:r>
        <w:t xml:space="preserve">4</w:t>
      </w:r>
      <w:r>
        <w:t xml:space="preserve">) were found in a variety of archaeological contexts including post-holes area, burials, and middens. For the ornament categories, we follow the well-established topology based on raw materials and shapes for the region of northeastern Taiwan</w:t>
      </w:r>
      <w:r>
        <w:t xml:space="preserve"> </w:t>
      </w:r>
      <w:r>
        <w:t xml:space="preserve">(Chen 2007; National Musuem of Taiwan History 2005)</w:t>
      </w:r>
      <w:r>
        <w:t xml:space="preserve">. This study focuses on 406 ornaments from 40 sampling squares located at the main habitation areas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Intact ornaments are commonly found in burials used as personal adornment, indicating the property of ornaments as prestige goods. In general, there are some differences between the number of gold-foil beads, carnelian beads, and glass beads across burials. For example, over a thousand beads are found in a few burials, but none is found in some burials. This is also because of the presence of bead strands or patterned bands of beads, which sometimes contain thousands of beads in an individual burial</w:t>
      </w:r>
      <w:r>
        <w:t xml:space="preserve"> </w:t>
      </w:r>
      <w:r>
        <w:t xml:space="preserve">(Chen 2007)</w:t>
      </w:r>
      <w:r>
        <w:t xml:space="preserve">. The uneven distribution of beads indicate some social differentiation, but a full discussion of the burial data is beyond the scope of this paper.</w:t>
      </w:r>
    </w:p>
    <w:p>
      <w:pPr>
        <w:pStyle w:val="BodyText"/>
      </w:pPr>
      <w:r>
        <w:t xml:space="preserve">We focus on ornaments from the habitation contexts (Figure</w:t>
      </w:r>
      <w:r>
        <w:t xml:space="preserve"> </w:t>
      </w:r>
      <w:r>
        <w:t xml:space="preserve">5</w:t>
      </w:r>
      <w:r>
        <w:t xml:space="preserve">, Table</w:t>
      </w:r>
      <w:r>
        <w:t xml:space="preserve"> </w:t>
      </w:r>
      <w:r>
        <w:t xml:space="preserve">2</w:t>
      </w:r>
      <w:r>
        <w:t xml:space="preserve">) because these give us the greatest spatial and temporal representation across the three time periods, and so are most informative of social inequality as indicated by uneven distributions of ornaments. The burials are excluded because most burials from the sampling area date to the European period (n = 21), limiting the usefulness of comparisons between the periods. A possible limitation to our chronological resolution is that ornaments could be heirlooms inherited over multiple generations and well-preserved for a long time. This is difficult to rule out completely, but we consider that because there is no continuous increase in ornament frequency over time, we conclude that accumulation and discard of ornaments is not constant. Thus, we assume that changes in the abundance of ornaments reflect relatively continuous discard behaviors rather than accumulations due to collecting of heirlooms.</w:t>
      </w:r>
    </w:p>
    <w:p>
      <w:pPr>
        <w:pStyle w:val="CaptionedFigure"/>
      </w:pPr>
      <w:r>
        <w:drawing>
          <wp:inline>
            <wp:extent cx="5334000" cy="7134941"/>
            <wp:effectExtent b="0" l="0" r="0" t="0"/>
            <wp:docPr descr="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 title="" id="1" name="Picture"/>
            <a:graphic>
              <a:graphicData uri="http://schemas.openxmlformats.org/drawingml/2006/picture">
                <pic:pic>
                  <pic:nvPicPr>
                    <pic:cNvPr descr="/Users/EmilyWang/Desktop/School%20document/LW-Paper/kwl-ornaments-2019/analysis/figures/ornament_edit.png" id="0" name="Picture"/>
                    <pic:cNvPicPr>
                      <a:picLocks noChangeArrowheads="1" noChangeAspect="1"/>
                    </pic:cNvPicPr>
                  </pic:nvPicPr>
                  <pic:blipFill>
                    <a:blip r:embed="rId29"/>
                    <a:stretch>
                      <a:fillRect/>
                    </a:stretch>
                  </pic:blipFill>
                  <pic:spPr bwMode="auto">
                    <a:xfrm>
                      <a:off x="0" y="0"/>
                      <a:ext cx="5334000" cy="7134941"/>
                    </a:xfrm>
                    <a:prstGeom prst="rect">
                      <a:avLst/>
                    </a:prstGeom>
                    <a:noFill/>
                    <a:ln w="9525">
                      <a:noFill/>
                      <a:headEnd/>
                      <a:tailEnd/>
                    </a:ln>
                  </pic:spPr>
                </pic:pic>
              </a:graphicData>
            </a:graphic>
          </wp:inline>
        </w:drawing>
      </w:r>
    </w:p>
    <w:p>
      <w:pPr>
        <w:pStyle w:val="ImageCaption"/>
      </w:pPr>
      <w:r>
        <w:t xml:space="preserve">Figure 4: Subtypes of ornament in each major class. A: carnelian beads, B: glass beads, C: gold-foil beads, D: bells, E: metal rings. Photographs are presented in the same order as those subtypes in the table but from left to right instead. The photographs of B, C, D, E classes are from the original excavation report (Chen 2007)</w:t>
      </w:r>
    </w:p>
    <w:p>
      <w:pPr>
        <w:pStyle w:val="CaptionedFigure"/>
      </w:pPr>
      <w:r>
        <w:drawing>
          <wp:inline>
            <wp:extent cx="5334000" cy="2370666"/>
            <wp:effectExtent b="0" l="0" r="0" t="0"/>
            <wp:docPr descr="Figure 5: Frequency of the major class of ornaments at Kiwulan. Frequency represents artifact counts totalizaing three period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5: Frequency of the major class of ornaments at Kiwulan. Frequency represents artifact counts totalizaing three periods</w:t>
      </w:r>
    </w:p>
    <w:p>
      <w:pPr>
        <w:pStyle w:val="TableCaption"/>
      </w:pPr>
      <w:r>
        <w:t xml:space="preserve">Table 2: Frequencies of ornaments by subtype at Kiwulan. Frequency represents artifact counts</w:t>
      </w:r>
    </w:p>
    <w:tbl>
      <w:tblPr>
        <w:tblStyle w:val="Table"/>
        <w:tblW w:type="pct" w:w="0.0"/>
        <w:tblLook w:firstRow="1"/>
        <w:tblCaption w:val="Table 2: Frequencies of ornaments by subtype at Kiwulan. Frequency represents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Carnelian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Carnelian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Carnelian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Carnelian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Carnelian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Carnelian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Gold-foil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Metal 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Metal 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Heading1"/>
      </w:pPr>
      <w:bookmarkStart w:id="31" w:name="X1d9039aecbbcb44c2dfa3a9268a6c9535658f66"/>
      <w:r>
        <w:t xml:space="preserve">Reproducibility and open source materials</w:t>
      </w:r>
      <w:bookmarkEnd w:id="31"/>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Heading1"/>
      </w:pPr>
      <w:bookmarkStart w:id="33" w:name="results"/>
      <w:r>
        <w:t xml:space="preserve">Results</w:t>
      </w:r>
      <w:bookmarkEnd w:id="33"/>
    </w:p>
    <w:p>
      <w:pPr>
        <w:pStyle w:val="Heading2"/>
      </w:pPr>
      <w:bookmarkStart w:id="34" w:name="Xe9b08508304d5ab66c39541369971fb4444a0c4"/>
      <w:r>
        <w:t xml:space="preserve">Changes in the frequencies of ornament types over time</w:t>
      </w:r>
      <w:bookmarkEnd w:id="34"/>
    </w:p>
    <w:p>
      <w:pPr>
        <w:pStyle w:val="CaptionedFigure"/>
      </w:pPr>
      <w:r>
        <w:drawing>
          <wp:inline>
            <wp:extent cx="5334000" cy="1974316"/>
            <wp:effectExtent b="0" l="0" r="0" t="0"/>
            <wp:docPr descr="Figure 6: Frequency of the major ornament types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5"/>
                    <a:stretch>
                      <a:fillRect/>
                    </a:stretch>
                  </pic:blipFill>
                  <pic:spPr bwMode="auto">
                    <a:xfrm>
                      <a:off x="0" y="0"/>
                      <a:ext cx="5334000" cy="1974316"/>
                    </a:xfrm>
                    <a:prstGeom prst="rect">
                      <a:avLst/>
                    </a:prstGeom>
                    <a:noFill/>
                    <a:ln w="9525">
                      <a:noFill/>
                      <a:headEnd/>
                      <a:tailEnd/>
                    </a:ln>
                  </pic:spPr>
                </pic:pic>
              </a:graphicData>
            </a:graphic>
          </wp:inline>
        </w:drawing>
      </w:r>
    </w:p>
    <w:p>
      <w:pPr>
        <w:pStyle w:val="ImageCaption"/>
      </w:pPr>
      <w:r>
        <w:t xml:space="preserve">Figure 6: Frequency of the major ornament types across different time periods.</w:t>
      </w:r>
    </w:p>
    <w:p>
      <w:pPr>
        <w:pStyle w:val="BodyText"/>
      </w:pPr>
      <w:r>
        <w:t xml:space="preserve">Figure</w:t>
      </w:r>
      <w:r>
        <w:t xml:space="preserve"> </w:t>
      </w:r>
      <w:r>
        <w:t xml:space="preserve">6</w:t>
      </w:r>
      <w:r>
        <w:t xml:space="preserve"> </w:t>
      </w:r>
      <w:r>
        <w:t xml:space="preserve">shows the comparison of frequencies of the major classes of ornaments for different time periods at Kiwulan. The difference in frequencies between the three time periods reflect significant differences in the use of ornaments (chi-square = 71.82, df = 8, p-value =</w:t>
      </w:r>
      <w:r>
        <w:t xml:space="preserve"> </w:t>
      </w:r>
      <m:oMath>
        <m:r>
          <m:t>2.14</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 To model the number of ornaments as a function of the mass of ceramics in each period, we used a Poisson GLM with a log link function. The model reveals that ceramic abundance strongly predicts the number of ornaments (β =</w:t>
      </w:r>
      <w:r>
        <w:t xml:space="preserve"> </w:t>
      </w:r>
      <m:oMath>
        <m:r>
          <m:t>1.94</m:t>
        </m:r>
        <m:r>
          <m:t>×</m:t>
        </m:r>
        <m:sSup>
          <m:e>
            <m:r>
              <m:t>10</m:t>
            </m:r>
          </m:e>
          <m:sup>
            <m:r>
              <m:t>−</m:t>
            </m:r>
            <m:r>
              <m:t>5</m:t>
            </m:r>
          </m:sup>
        </m:sSup>
      </m:oMath>
      <w:r>
        <w:t xml:space="preserve">, p =</w:t>
      </w:r>
      <w:r>
        <w:t xml:space="preserve"> </w:t>
      </w:r>
      <m:oMath>
        <m:r>
          <m:t>4.225</m:t>
        </m:r>
        <m:r>
          <m:t>×</m:t>
        </m:r>
        <m:sSup>
          <m:e>
            <m:r>
              <m:t>10</m:t>
            </m:r>
          </m:e>
          <m:sup>
            <m:r>
              <m:t>−</m:t>
            </m:r>
            <m:r>
              <m:t>29</m:t>
            </m:r>
          </m:sup>
        </m:sSup>
      </m:oMath>
      <w:r>
        <w:t xml:space="preserve">). If ceramic abundance is a suitable proxy for population at Kiwulan due to its basic role as cooking vessels, then ornament quantities per period may be influenced by the number of people living at the site.</w:t>
      </w:r>
    </w:p>
    <w:p>
      <w:pPr>
        <w:pStyle w:val="CaptionedFigure"/>
      </w:pPr>
      <w:r>
        <w:drawing>
          <wp:inline>
            <wp:extent cx="5334000" cy="3754547"/>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6"/>
                    <a:stretch>
                      <a:fillRect/>
                    </a:stretch>
                  </pic:blipFill>
                  <pic:spPr bwMode="auto">
                    <a:xfrm>
                      <a:off x="0" y="0"/>
                      <a:ext cx="5334000" cy="3754547"/>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Figure</w:t>
      </w:r>
      <w:r>
        <w:t xml:space="preserve"> </w:t>
      </w:r>
      <w:r>
        <w:t xml:space="preserve">7</w:t>
      </w:r>
      <w:r>
        <w:t xml:space="preserve"> </w:t>
      </w:r>
      <w:r>
        <w:t xml:space="preserve">shows the distribution of frequencies for subtypes in each major class. Spearman’s correlation test shows that there is no significant relationship between diversity of subtypes and sample size (S = 1660.07, rho = 0.59, p =</w:t>
      </w:r>
      <w:r>
        <w:t xml:space="preserve"> </w:t>
      </w:r>
      <m:oMath>
        <m:r>
          <m:t>7.3</m:t>
        </m:r>
        <m:r>
          <m:t>×</m:t>
        </m:r>
        <m:sSup>
          <m:e>
            <m:r>
              <m:t>10</m:t>
            </m:r>
          </m:e>
          <m:sup>
            <m:r>
              <m:t>−</m:t>
            </m:r>
            <m:r>
              <m:t>4</m:t>
            </m:r>
          </m:sup>
        </m:sSup>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presenting as small (0.5-1 cm) or medium (1-2 cm), they have a wide variety of colors or patterns mostly made by a winding technique and with high lead content indicating possibly from China</w:t>
      </w:r>
      <w:r>
        <w:t xml:space="preserve"> </w:t>
      </w:r>
      <w:r>
        <w:t xml:space="preserve">(Cheng 2008)</w:t>
      </w:r>
      <w:r>
        <w:t xml:space="preserve">.</w:t>
      </w:r>
    </w:p>
    <w:p>
      <w:pPr>
        <w:pStyle w:val="BodyText"/>
      </w:pPr>
      <w:r>
        <w:t xml:space="preserve">Although we are not certain of the specific origin of all kinds of beads, research suggests that glass beads and metal ornaments have similar production techniques and composition to those found in China, while gold-foil beads may relate to the economic activities of the Spanish in the South China Sea region</w:t>
      </w:r>
      <w:r>
        <w:t xml:space="preserve"> </w:t>
      </w:r>
      <w:r>
        <w:t xml:space="preserve">(Chen 2011; Wang 2018)</w:t>
      </w:r>
      <w:r>
        <w:t xml:space="preserve">. There seem to be no obvious changes in the sources of glass beads or metal ornaments at different phases in the upper component of Kiwulan (1350-1850 AD). However, the glass beads from the lower component (650-1150 AD) demonstrate the composition of m-Na-Al glass and soda plant ash glass that are subtypes of the Indo-Pacific beads, frequently seen in Southeast Asia</w:t>
      </w:r>
      <w:r>
        <w:t xml:space="preserve">(Carter 2016; Francis 2002; Wang &amp; Jackson 2014)</w:t>
      </w:r>
      <w:r>
        <w:t xml:space="preserve">. A transition in the origin of glass beads from mainly Southeast Asia to multiple regions including China might indicate different trading networks. A regional network in the South China Sea in the earlier period and later involved in a larger scale trading network stimulated by the Europeans and the Chinese</w:t>
      </w:r>
      <w:r>
        <w:t xml:space="preserve"> </w:t>
      </w:r>
      <w:r>
        <w:t xml:space="preserve">(Hung &amp; Chao 2016; Wang &amp; Liu 2007)</w:t>
      </w:r>
      <w:r>
        <w:t xml:space="preserve">.</w:t>
      </w:r>
    </w:p>
    <w:p>
      <w:pPr>
        <w:pStyle w:val="Heading2"/>
      </w:pPr>
      <w:bookmarkStart w:id="37" w:name="X144b6335b7b3596320742f35c7665fd9e0c18da"/>
      <w:r>
        <w:t xml:space="preserve">Changes in patterns of the spatial distribution of ornament types</w:t>
      </w:r>
      <w:bookmarkEnd w:id="37"/>
    </w:p>
    <w:p>
      <w:pPr>
        <w:pStyle w:val="CaptionedFigure"/>
      </w:pPr>
      <w:r>
        <w:drawing>
          <wp:inline>
            <wp:extent cx="5334000" cy="1224745"/>
            <wp:effectExtent b="0" l="0" r="0" t="0"/>
            <wp:docPr descr="Figure 8: Spatial densities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8"/>
                    <a:stretch>
                      <a:fillRect/>
                    </a:stretch>
                  </pic:blipFill>
                  <pic:spPr bwMode="auto">
                    <a:xfrm>
                      <a:off x="0" y="0"/>
                      <a:ext cx="5334000" cy="1224745"/>
                    </a:xfrm>
                    <a:prstGeom prst="rect">
                      <a:avLst/>
                    </a:prstGeom>
                    <a:noFill/>
                    <a:ln w="9525">
                      <a:noFill/>
                      <a:headEnd/>
                      <a:tailEnd/>
                    </a:ln>
                  </pic:spPr>
                </pic:pic>
              </a:graphicData>
            </a:graphic>
          </wp:inline>
        </w:drawing>
      </w:r>
    </w:p>
    <w:p>
      <w:pPr>
        <w:pStyle w:val="ImageCaption"/>
      </w:pPr>
      <w:r>
        <w:t xml:space="preserve">Figure 8: Spatial densities of all class of ornament by time periods.</w:t>
      </w:r>
    </w:p>
    <w:p>
      <w:pPr>
        <w:pStyle w:val="CaptionedFigure"/>
      </w:pPr>
      <w:r>
        <w:drawing>
          <wp:inline>
            <wp:extent cx="5334000" cy="3239217"/>
            <wp:effectExtent b="0" l="0" r="0" t="0"/>
            <wp:docPr descr="Figure 9: Spatial densities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9"/>
                    <a:stretch>
                      <a:fillRect/>
                    </a:stretch>
                  </pic:blipFill>
                  <pic:spPr bwMode="auto">
                    <a:xfrm>
                      <a:off x="0" y="0"/>
                      <a:ext cx="5334000" cy="3239217"/>
                    </a:xfrm>
                    <a:prstGeom prst="rect">
                      <a:avLst/>
                    </a:prstGeom>
                    <a:noFill/>
                    <a:ln w="9525">
                      <a:noFill/>
                      <a:headEnd/>
                      <a:tailEnd/>
                    </a:ln>
                  </pic:spPr>
                </pic:pic>
              </a:graphicData>
            </a:graphic>
          </wp:inline>
        </w:drawing>
      </w:r>
    </w:p>
    <w:p>
      <w:pPr>
        <w:pStyle w:val="ImageCaption"/>
      </w:pPr>
      <w:r>
        <w:t xml:space="preserve">Figure 9: Spatial densities for ornament class by time periods, only those types with more than 5 pieces are shown here.</w:t>
      </w:r>
    </w:p>
    <w:p>
      <w:pPr>
        <w:pStyle w:val="BodyText"/>
      </w:pPr>
      <w:r>
        <w:t xml:space="preserve">Figure</w:t>
      </w:r>
      <w:r>
        <w:t xml:space="preserve"> </w:t>
      </w:r>
      <w:r>
        <w:t xml:space="preserve">8</w:t>
      </w:r>
      <w:r>
        <w:t xml:space="preserve"> </w:t>
      </w:r>
      <w:r>
        <w:t xml:space="preserve">presents the spatial distribution of all ornaments from the research area for each time period. For deposits predating the European arrival, a greater amount of ornaments were found at the northern and middle parts of the research area. In European period deposits, ornaments were more widespread, with some clusters on the northern part. In units dating to the Chinese period the distribution is more even without clear clusters.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Heading2"/>
      </w:pPr>
      <w:bookmarkStart w:id="40" w:name="X66189ada9c350873661985c3a8e724a1afcfe56"/>
      <w:r>
        <w:t xml:space="preserve">Point pattern analysis of ornament distribution</w:t>
      </w:r>
      <w:bookmarkEnd w:id="40"/>
    </w:p>
    <w:p>
      <w:pPr>
        <w:pStyle w:val="CaptionedFigure"/>
      </w:pPr>
      <w:r>
        <w:drawing>
          <wp:inline>
            <wp:extent cx="5334000" cy="1579452"/>
            <wp:effectExtent b="0" l="0" r="0" t="0"/>
            <wp:docPr descr="Figure 10: Kernel density map for ornaments by periods, using a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41"/>
                    <a:stretch>
                      <a:fillRect/>
                    </a:stretch>
                  </pic:blipFill>
                  <pic:spPr bwMode="auto">
                    <a:xfrm>
                      <a:off x="0" y="0"/>
                      <a:ext cx="5334000" cy="1579452"/>
                    </a:xfrm>
                    <a:prstGeom prst="rect">
                      <a:avLst/>
                    </a:prstGeom>
                    <a:noFill/>
                    <a:ln w="9525">
                      <a:noFill/>
                      <a:headEnd/>
                      <a:tailEnd/>
                    </a:ln>
                  </pic:spPr>
                </pic:pic>
              </a:graphicData>
            </a:graphic>
          </wp:inline>
        </w:drawing>
      </w:r>
    </w:p>
    <w:p>
      <w:pPr>
        <w:pStyle w:val="ImageCaption"/>
      </w:pPr>
      <w:r>
        <w:t xml:space="preserve">Figure 10: Kernel density map for ornaments by periods, using a bandwidth based on Silverman (1986)’s rule of thumb</w:t>
      </w:r>
    </w:p>
    <w:p>
      <w:pPr>
        <w:pStyle w:val="BodyText"/>
      </w:pPr>
      <w:r>
        <w:t xml:space="preserve">The distribution and density of prestige goods across the residential area can provide information on social structure based on the assumption that distribution patterns observed from spatial data can reveal cultural processes</w:t>
      </w:r>
      <w:r>
        <w:t xml:space="preserve"> </w:t>
      </w:r>
      <w:r>
        <w:t xml:space="preserve">(Kintigh &amp; Ammerman 1982)</w:t>
      </w:r>
      <w:r>
        <w:t xml:space="preserve">. The differential accumulation of artifacts, especially high value goods, in many archaeological contexts can reflect social differentiation or hierarchy in a society</w:t>
      </w:r>
      <w:r>
        <w:t xml:space="preserve"> </w:t>
      </w:r>
      <w:r>
        <w:t xml:space="preserve">(Halstead 1993; Orser 1988; Pearson 1993; Trubitt 2003; Wason 2004)</w:t>
      </w:r>
      <w:r>
        <w:t xml:space="preserve">. We used point pattern analysis to assess whether the distribution of artifacts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we assigned each ornament to a random coordinate pair in the square it was recovered from because artifacts from Kiwulan lack exact piece-provenance data. The next step was to divide the ornaments into three time periods. Finally we computed the density maps for each time period for comparison. Density values of artifacts per square meter were calculated for each cell. Here we use kernel density estimation (KDE) for visualization and identification of spatial clusters</w:t>
      </w:r>
      <w:r>
        <w:t xml:space="preserve"> </w:t>
      </w:r>
      <w:r>
        <w:t xml:space="preserve">(Baxter</w:t>
      </w:r>
      <w:r>
        <w:t xml:space="preserve"> </w:t>
      </w:r>
      <w:r>
        <w:rPr>
          <w:i/>
        </w:rPr>
        <w:t xml:space="preserve">et al.</w:t>
      </w:r>
      <w:r>
        <w:t xml:space="preserve"> </w:t>
      </w:r>
      <w:r>
        <w:t xml:space="preserve">1997)</w:t>
      </w:r>
      <w:r>
        <w:t xml:space="preserve">, in this case the core areas of ornaments and surrounding neighborhoods. KDE is a method of spatial analysis that computes the probability of the density of ornaments across space by creating a continuous, smooth density surface across space</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an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making reliable interpretations of intentional human activities at Kiwulan.</w:t>
      </w:r>
    </w:p>
    <w:p>
      <w:pPr>
        <w:pStyle w:val="CaptionedFigure"/>
      </w:pPr>
      <w:r>
        <w:drawing>
          <wp:inline>
            <wp:extent cx="5334000" cy="8895022"/>
            <wp:effectExtent b="0" l="0" r="0" t="0"/>
            <wp:docPr descr="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42"/>
                    <a:stretch>
                      <a:fillRect/>
                    </a:stretch>
                  </pic:blipFill>
                  <pic:spPr bwMode="auto">
                    <a:xfrm>
                      <a:off x="0" y="0"/>
                      <a:ext cx="5334000" cy="8895022"/>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values under a completely random process resulting from a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artifacts in any category, likely reflecting a smaller population at Kiwulan at this time, making spatial patterns and hotspots difficult to discern with confidence. Our Monte Carlo testing reveals that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3" w:name="discussion"/>
      <w:r>
        <w:t xml:space="preserve">Discussion</w:t>
      </w:r>
      <w:bookmarkEnd w:id="43"/>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Those trade ornaments have multiple origins, including Southeast Asia and China, and were first introduced into northeastern Taiwan by Chinese merchants before the 17th century. Later, trade activities became more frequent and intense in the 17th century due to European activities. The greater diversity and quantity of ornaments likely resulted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at Kiwulan may be related to the movement of many Indigenous people southwards to Hualien due to the increasing numbers of Han Chinese immigrants who took over their lands at the end of the 18th century</w:t>
      </w:r>
      <w:r>
        <w:t xml:space="preserve"> </w:t>
      </w:r>
      <w:r>
        <w:t xml:space="preserve">(Chen 2007)</w:t>
      </w:r>
      <w:r>
        <w:t xml:space="preserve">. Houses and burials may also be a useful source of evidence to understand population size but a proper treatment of those is beyond the scope of the paper</w:t>
      </w:r>
    </w:p>
    <w:p>
      <w:pPr>
        <w:pStyle w:val="BodyText"/>
      </w:pPr>
      <w:r>
        <w:t xml:space="preserve">Archaeological contexts show that ornaments are especially abundant in burial contexts serving as grave goods</w:t>
      </w:r>
      <w:r>
        <w:t xml:space="preserve"> </w:t>
      </w:r>
      <w:r>
        <w:t xml:space="preserve">(Chen 2007)</w:t>
      </w:r>
      <w:r>
        <w:t xml:space="preserve">.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 Based on the finding of that burial,</w:t>
      </w:r>
      <w:r>
        <w:t xml:space="preserve"> </w:t>
      </w:r>
      <w:r>
        <w:t xml:space="preserve">Cheng (2008)</w:t>
      </w:r>
      <w:r>
        <w:t xml:space="preserve"> </w:t>
      </w:r>
      <w:r>
        <w:t xml:space="preserve">proposed a more hierarchical structure of Kiwulan. However,</w:t>
      </w:r>
      <w:r>
        <w:t xml:space="preserve"> </w:t>
      </w:r>
      <w:r>
        <w:t xml:space="preserve">Hsieh (2012)</w:t>
      </w:r>
      <w:r>
        <w:t xml:space="preserve">’s research on burial data suggested a more egalitarian society since a few burials with rich goods are elders that indicate accumulated wealth over time instead of inherited status. Despite the data they used for making inferences are all based on burial contexts, the inferences about Kiwulan social structure are the opposite. Our results can provide an additional insight by focusing on the residential area that demonstrated an uneven distribution of ornaments during the European presence, indicating an increasing social inequality. Nevertheless, we still need to explore and compare with other archaeological records to make a better inference to the social structure of Kiwulan.</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w:t>
      </w:r>
      <w:r>
        <w:t xml:space="preserve"> </w:t>
      </w:r>
      <w:r>
        <w:rPr>
          <w:i/>
        </w:rPr>
        <w:t xml:space="preserve">et al.</w:t>
      </w:r>
      <w:r>
        <w:t xml:space="preserve"> </w:t>
      </w:r>
      <w:r>
        <w:t xml:space="preserve">2010; Drennan</w:t>
      </w:r>
      <w:r>
        <w:t xml:space="preserve"> </w:t>
      </w:r>
      <w:r>
        <w:rPr>
          <w:i/>
        </w:rPr>
        <w:t xml:space="preserve">et al.</w:t>
      </w:r>
      <w:r>
        <w:t xml:space="preserve"> </w:t>
      </w:r>
      <w:r>
        <w:t xml:space="preserve">2010; Feinman 2000)</w:t>
      </w:r>
      <w:r>
        <w:t xml:space="preserve">. The corporate/network model proposed expands traditional hierarchical complexity to provide a comparative basis for distinct strategies for power</w:t>
      </w:r>
      <w:r>
        <w:t xml:space="preserve"> </w:t>
      </w:r>
      <w:r>
        <w:t xml:space="preserve">(Feinman 2000)</w:t>
      </w:r>
      <w:r>
        <w:t xml:space="preserve">.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The Kiwulan ornament data may be interpreted as indicating that Yilan social organization moved from a corporate mode, before the European arrival, to a network mode during European presence. The changes from a less concentrated to a more concentrated distribution of ornaments before and after the presence of Europeans appears consistent with the shift from shared power and wealth to accumulated wealth and monopolization. One possible explanation for the shift could be the long-distance trade network introduced by Europeans. The rarity and the image of colonial power of foreign trade goods resulted in the emergence of competition among ambitious individuals for prestige, wealth, or power through collecting them</w:t>
      </w:r>
      <w:r>
        <w:t xml:space="preserve"> </w:t>
      </w:r>
      <w:r>
        <w:t xml:space="preserve">(Boone 1992; 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also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We know the custom of wearing ornaments in Indigenous societies for attending ceremonial events based on the Chinese historical records in the 19th century</w:t>
      </w:r>
      <w:r>
        <w:t xml:space="preserve"> </w:t>
      </w:r>
      <w:r>
        <w:t xml:space="preserve">(Chen 1963; Ke 1993)</w:t>
      </w:r>
      <w:r>
        <w:t xml:space="preserve">. Also, an ethnographic photo photographed by</w:t>
      </w:r>
      <w:r>
        <w:t xml:space="preserve"> </w:t>
      </w:r>
      <w:r>
        <w:t xml:space="preserve">Mackey (1895)</w:t>
      </w:r>
      <w:r>
        <w:t xml:space="preserve">, pp. 306-307 presents a weaving practice by an Indigenous woman at Yilan, who wore beaded necklace and headpiece. This indicates displaying ornaments is part of their culture, and likely to be also used in their daily life according to the photo and the archaeological context where ornaments commonly found in the residential area. This custom might be reinforced during the foreign presence as a form of resistance, but we still need more specific evidence from Kiwulan to prefer resistance as the primary mechanism behind the distribution of ornaments over colonial influence.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As noted above, this pattern is not a good fit for the ornament distribution at Kiwulan, and adds little value in explaining the shifts in spatial patterns.</w:t>
      </w:r>
    </w:p>
    <w:p>
      <w:pPr>
        <w:pStyle w:val="Heading1"/>
      </w:pPr>
      <w:bookmarkStart w:id="44" w:name="conclusion"/>
      <w:r>
        <w:t xml:space="preserve">Conclusion</w:t>
      </w:r>
      <w:bookmarkEnd w:id="44"/>
    </w:p>
    <w:p>
      <w:pPr>
        <w:pStyle w:val="FirstParagraph"/>
      </w:pPr>
      <w:r>
        <w:t xml:space="preserve">Analyses of the archaeological record at the peripheries of colonial activity offers an opportunity to understand pervasive but not necessarily dominant European colonial processes at remote Indigenous groups</w:t>
      </w:r>
      <w:r>
        <w:t xml:space="preserve"> </w:t>
      </w:r>
      <w:r>
        <w:t xml:space="preserve">(Trabert 2018)</w:t>
      </w:r>
      <w:r>
        <w:t xml:space="preserve">. Similar impacts can be also seen in modern societies today when adopting western products</w:t>
      </w:r>
      <w:r>
        <w:t xml:space="preserve"> </w:t>
      </w:r>
      <w:r>
        <w:t xml:space="preserve">(Al-Ghanim</w:t>
      </w:r>
      <w:r>
        <w:t xml:space="preserve"> </w:t>
      </w:r>
      <w:r>
        <w:rPr>
          <w:i/>
        </w:rPr>
        <w:t xml:space="preserve">et al.</w:t>
      </w:r>
      <w:r>
        <w:t xml:space="preserve"> </w:t>
      </w:r>
      <w:r>
        <w:t xml:space="preserve">2017; Jane 2015)</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reach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exchange network with Chinese merchants, and viewed as prestige goods in the local Indigenous culture. After the arrival of the Europeans, the exotic and powerful image carried by those ornaments may have intensified, further signaling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are symbolic of cultural tradition, but additional evidence is required to confirm this.</w:t>
      </w:r>
    </w:p>
    <w:p>
      <w:pPr>
        <w:pStyle w:val="BodyText"/>
      </w:pPr>
      <w:r>
        <w:t xml:space="preserve">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colonization. It also shows the agency of Indigenous people to incorporate ornaments into their social system and use them in their life or social occasions to display or intensify status differences. We are still far from understanding the full variety of colonial impacts on peripheral Indigenous communities. We have introduced here the corporate/network model for understanding the dynamics of social inequality at Kiwulan, and further provenance analysis of imported ceramics and ornaments such as X-ray fluorescence analysis would provide more information to construct a clear picture of complex trade networks during this periods.</w:t>
      </w:r>
    </w:p>
    <w:p>
      <w:pPr>
        <w:pStyle w:val="Heading1"/>
      </w:pPr>
      <w:bookmarkStart w:id="45" w:name="acknowledgements"/>
      <w:r>
        <w:t xml:space="preserve">Acknowledgements</w:t>
      </w:r>
      <w:bookmarkEnd w:id="45"/>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Chester Fritz Graduate Fellowship and travel grants from the Department of Anthropology at University of Washington. We thank Ben Fitzhugh and Peter Lape for their insightful comments on an early draft. We also acknowledge comments from anonymous reviewers that have greatly improved this manuscript.</w:t>
      </w:r>
    </w:p>
    <w:p>
      <w:pPr>
        <w:pStyle w:val="Heading1"/>
      </w:pPr>
      <w:bookmarkStart w:id="46" w:name="references"/>
      <w:r>
        <w:t xml:space="preserve">References</w:t>
      </w:r>
      <w:bookmarkEnd w:id="46"/>
    </w:p>
    <w:bookmarkStart w:id="136" w:name="refs"/>
    <w:bookmarkStart w:id="47" w:name="ref-Acabado2017"/>
    <w:p>
      <w:pPr>
        <w:pStyle w:val="Bibliography"/>
      </w:pPr>
      <w:r>
        <w:rPr>
          <w:smallCaps/>
        </w:rPr>
        <w:t xml:space="preserve">Acabado</w:t>
      </w:r>
      <w:r>
        <w:t xml:space="preserve">, S. 2017. The archaeology of pericolonialism: Responses of the ‘unconquered’ to spanish conquest and colonialism in Ifugao, Philippines</w:t>
      </w:r>
      <w:r>
        <w:t xml:space="preserve"> </w:t>
      </w:r>
      <w:r>
        <w:rPr>
          <w:i/>
        </w:rPr>
        <w:t xml:space="preserve">International Journal of Historical Archaeology</w:t>
      </w:r>
      <w:r>
        <w:t xml:space="preserve"> </w:t>
      </w:r>
      <w:r>
        <w:t xml:space="preserve">21. Springer: 1–26.</w:t>
      </w:r>
    </w:p>
    <w:bookmarkEnd w:id="47"/>
    <w:bookmarkStart w:id="48" w:name="ref-AlGhanim2017"/>
    <w:p>
      <w:pPr>
        <w:pStyle w:val="Bibliography"/>
      </w:pPr>
      <w:r>
        <w:rPr>
          <w:smallCaps/>
        </w:rPr>
        <w:t xml:space="preserve">Al-Ghanim</w:t>
      </w:r>
      <w:r>
        <w:t xml:space="preserve">, K., A.</w:t>
      </w:r>
      <w:r>
        <w:t xml:space="preserve"> </w:t>
      </w:r>
      <w:r>
        <w:rPr>
          <w:smallCaps/>
        </w:rPr>
        <w:t xml:space="preserve">Gardner</w:t>
      </w:r>
      <w:r>
        <w:t xml:space="preserve">. &amp; S.</w:t>
      </w:r>
      <w:r>
        <w:t xml:space="preserve"> </w:t>
      </w:r>
      <w:r>
        <w:rPr>
          <w:smallCaps/>
        </w:rPr>
        <w:t xml:space="preserve">El-Menshawy</w:t>
      </w:r>
      <w:r>
        <w:t xml:space="preserve">. 2017. The relation between spaces and cultural change: Supermalls and cultural change in Qatari society</w:t>
      </w:r>
      <w:r>
        <w:t xml:space="preserve"> </w:t>
      </w:r>
      <w:r>
        <w:rPr>
          <w:i/>
        </w:rPr>
        <w:t xml:space="preserve">SCIENTIFIC CULTURE</w:t>
      </w:r>
      <w:r>
        <w:t xml:space="preserve"> </w:t>
      </w:r>
      <w:r>
        <w:t xml:space="preserve">3: 21–32.</w:t>
      </w:r>
    </w:p>
    <w:bookmarkEnd w:id="48"/>
    <w:bookmarkStart w:id="49"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9"/>
    <w:bookmarkStart w:id="50" w:name="ref-Andrade2007"/>
    <w:p>
      <w:pPr>
        <w:pStyle w:val="Bibliography"/>
      </w:pPr>
      <w:r>
        <w:rPr>
          <w:smallCaps/>
        </w:rPr>
        <w:t xml:space="preserve">Andrade</w:t>
      </w:r>
      <w:r>
        <w:t xml:space="preserve">, T. 2007.</w:t>
      </w:r>
      <w:r>
        <w:t xml:space="preserve"> </w:t>
      </w:r>
      <w:r>
        <w:rPr>
          <w:i/>
        </w:rPr>
        <w:t xml:space="preserve">How Taiwan became Chinese: Dutch, Spanish, and Han colonization in the seventeenth century</w:t>
      </w:r>
      <w:r>
        <w:t xml:space="preserve">. New York: Columbia University Press.</w:t>
      </w:r>
    </w:p>
    <w:bookmarkEnd w:id="50"/>
    <w:bookmarkStart w:id="51" w:name="ref-Baxter1997"/>
    <w:p>
      <w:pPr>
        <w:pStyle w:val="Bibliography"/>
      </w:pPr>
      <w:r>
        <w:rPr>
          <w:smallCaps/>
        </w:rPr>
        <w:t xml:space="preserve">Baxter</w:t>
      </w:r>
      <w:r>
        <w:t xml:space="preserve">, M.J., C.C.</w:t>
      </w:r>
      <w:r>
        <w:t xml:space="preserve"> </w:t>
      </w:r>
      <w:r>
        <w:rPr>
          <w:smallCaps/>
        </w:rPr>
        <w:t xml:space="preserve">Beardah</w:t>
      </w:r>
      <w:r>
        <w:t xml:space="preserve">. &amp; R.V.</w:t>
      </w:r>
      <w:r>
        <w:t xml:space="preserve"> </w:t>
      </w:r>
      <w:r>
        <w:rPr>
          <w:smallCaps/>
        </w:rPr>
        <w:t xml:space="preserve">Wright</w:t>
      </w:r>
      <w:r>
        <w:t xml:space="preserve">. 1997. Some archaeological applications of kernel density estimates</w:t>
      </w:r>
      <w:r>
        <w:t xml:space="preserve"> </w:t>
      </w:r>
      <w:r>
        <w:rPr>
          <w:i/>
        </w:rPr>
        <w:t xml:space="preserve">Journal of Archaeological Science</w:t>
      </w:r>
      <w:r>
        <w:t xml:space="preserve"> </w:t>
      </w:r>
      <w:r>
        <w:t xml:space="preserve">24. Elsevier: 347–54.</w:t>
      </w:r>
    </w:p>
    <w:bookmarkEnd w:id="51"/>
    <w:bookmarkStart w:id="52"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52"/>
    <w:bookmarkStart w:id="53"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53"/>
    <w:bookmarkStart w:id="54"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4"/>
    <w:bookmarkStart w:id="55"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5"/>
    <w:bookmarkStart w:id="56"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6"/>
    <w:bookmarkStart w:id="57" w:name="ref-Boone1992"/>
    <w:p>
      <w:pPr>
        <w:pStyle w:val="Bibliography"/>
      </w:pPr>
      <w:r>
        <w:rPr>
          <w:smallCaps/>
        </w:rPr>
        <w:t xml:space="preserve">Boone</w:t>
      </w:r>
      <w:r>
        <w:t xml:space="preserve">, J.L. 1992.</w:t>
      </w:r>
      <w:r>
        <w:t xml:space="preserve"> </w:t>
      </w:r>
      <w:r>
        <w:rPr>
          <w:i/>
        </w:rPr>
        <w:t xml:space="preserve">Competition, conflict, and development of social hierarchies.</w:t>
      </w:r>
      <w:r>
        <w:t xml:space="preserve"> </w:t>
      </w:r>
      <w:r>
        <w:t xml:space="preserve">Evolutionary Ecology and Human Behavior. Aldine de Gruyter, New York.</w:t>
      </w:r>
    </w:p>
    <w:bookmarkEnd w:id="57"/>
    <w:bookmarkStart w:id="58"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8"/>
    <w:bookmarkStart w:id="59"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9"/>
    <w:bookmarkStart w:id="60"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60"/>
    <w:bookmarkStart w:id="61"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61"/>
    <w:bookmarkStart w:id="62"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62"/>
    <w:bookmarkStart w:id="63" w:name="ref-Chen2011"/>
    <w:p>
      <w:pPr>
        <w:pStyle w:val="Bibliography"/>
      </w:pPr>
      <w:r>
        <w:rPr>
          <w:smallCaps/>
        </w:rPr>
        <w:t xml:space="preserve">Chen</w:t>
      </w:r>
      <w:r>
        <w:t xml:space="preserve">, K.-t. 2011. Taiwan diqu chutu tongqi ji xiangguan yiliu zoulun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63"/>
    <w:bookmarkStart w:id="64" w:name="ref-Chen1963"/>
    <w:p>
      <w:pPr>
        <w:pStyle w:val="Bibliography"/>
      </w:pPr>
      <w:r>
        <w:rPr>
          <w:smallCaps/>
        </w:rPr>
        <w:t xml:space="preserve">Chen</w:t>
      </w:r>
      <w:r>
        <w:t xml:space="preserve">, S. 1963.</w:t>
      </w:r>
      <w:r>
        <w:t xml:space="preserve"> </w:t>
      </w:r>
      <w:r>
        <w:rPr>
          <w:i/>
        </w:rPr>
        <w:t xml:space="preserve">Kavalan tingzhi [kavalan culture history]</w:t>
      </w:r>
      <w:r>
        <w:t xml:space="preserve">. Taipei: Economic Research Office, Bank of Taiwan.</w:t>
      </w:r>
    </w:p>
    <w:bookmarkEnd w:id="64"/>
    <w:bookmarkStart w:id="65" w:name="ref-Chen2005"/>
    <w:p>
      <w:pPr>
        <w:pStyle w:val="Bibliography"/>
      </w:pPr>
      <w:r>
        <w:rPr>
          <w:smallCaps/>
        </w:rPr>
        <w:t xml:space="preserve">Chen</w:t>
      </w:r>
      <w:r>
        <w:t xml:space="preserve">, T.-j. 2005.</w:t>
      </w:r>
      <w:r>
        <w:t xml:space="preserve"> </w:t>
      </w:r>
      <w:r>
        <w:rPr>
          <w:i/>
        </w:rPr>
        <w:t xml:space="preserve">Keelung shan yu danshui yang: Dongya haiyu yu taiwan zaoqishi yanjiu, 1400-1700 [Mount Keelung and Danshui Sea: A study of East Asian Seas and the early history of Taiwan from 1400 to 1700]</w:t>
      </w:r>
      <w:r>
        <w:t xml:space="preserve">. Taipei: Lian jing.</w:t>
      </w:r>
    </w:p>
    <w:bookmarkEnd w:id="65"/>
    <w:bookmarkStart w:id="66"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6"/>
    <w:bookmarkStart w:id="67" w:name="ref-Chen2007"/>
    <w:p>
      <w:pPr>
        <w:pStyle w:val="Bibliography"/>
      </w:pPr>
      <w:r>
        <w:rPr>
          <w:smallCaps/>
        </w:rPr>
        <w:t xml:space="preserve">Chen</w:t>
      </w:r>
      <w:r>
        <w:t xml:space="preserve">, Y.-p. 2007.</w:t>
      </w:r>
      <w:r>
        <w:t xml:space="preserve"> </w:t>
      </w:r>
      <w:r>
        <w:rPr>
          <w:i/>
        </w:rPr>
        <w:t xml:space="preserve">Kiwulan yizhi qiangjiu fajue baogao [the archaeological excavation report of Kiwulan]</w:t>
      </w:r>
      <w:r>
        <w:t xml:space="preserve">. Yilan, Taiwan: Lanyang museum.</w:t>
      </w:r>
    </w:p>
    <w:bookmarkEnd w:id="67"/>
    <w:bookmarkStart w:id="68" w:name="ref-Cheng2008"/>
    <w:p>
      <w:pPr>
        <w:pStyle w:val="Bibliography"/>
      </w:pPr>
      <w:r>
        <w:rPr>
          <w:smallCaps/>
        </w:rPr>
        <w:t xml:space="preserve">Cheng</w:t>
      </w:r>
      <w:r>
        <w:t xml:space="preserve">, C.-F. 2008. Kiwulan yizhi yu Shenei yizhi chutu boli zhu de xiangguan yanjiu [studies of glass beads excavated from Kivalan and Shenei site, Taiwan]. Master’s thesis.</w:t>
      </w:r>
    </w:p>
    <w:bookmarkEnd w:id="68"/>
    <w:bookmarkStart w:id="69" w:name="ref-Chiu2004"/>
    <w:p>
      <w:pPr>
        <w:pStyle w:val="Bibliography"/>
      </w:pPr>
      <w:r>
        <w:rPr>
          <w:smallCaps/>
        </w:rPr>
        <w:t xml:space="preserve">Chiu</w:t>
      </w:r>
      <w:r>
        <w:t xml:space="preserve">, H.-L. 2004. Yilan xian jiaoxi xiang Kiwulan yizhi chutu muzang yanjiu: Maizang hangwei yu wenhua bianqian de guancha [investigations of mortuary behaviors and cultural change of the Kivulan site in I-Lan county]. Master’s thesis.</w:t>
      </w:r>
    </w:p>
    <w:bookmarkEnd w:id="69"/>
    <w:bookmarkStart w:id="70"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70"/>
    <w:bookmarkStart w:id="71"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71"/>
    <w:bookmarkStart w:id="72"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72"/>
    <w:bookmarkStart w:id="73"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73"/>
    <w:bookmarkStart w:id="74"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74"/>
    <w:bookmarkStart w:id="75"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5"/>
    <w:bookmarkStart w:id="76" w:name="ref-Dizon2016"/>
    <w:p>
      <w:pPr>
        <w:pStyle w:val="Bibliography"/>
      </w:pPr>
      <w:r>
        <w:rPr>
          <w:smallCaps/>
        </w:rPr>
        <w:t xml:space="preserve">Dizon</w:t>
      </w:r>
      <w:r>
        <w:t xml:space="preserve">, E.Z. 2016. Underwater archaeology of the San Diego a 1600 Spanish Galleon in the Philippines, in</w:t>
      </w:r>
      <w:r>
        <w:t xml:space="preserve"> </w:t>
      </w:r>
      <w:r>
        <w:rPr>
          <w:i/>
        </w:rPr>
        <w:t xml:space="preserve">Early navigation in the asia-pacific region</w:t>
      </w:r>
      <w:r>
        <w:t xml:space="preserve">: 91–102. Springer.</w:t>
      </w:r>
    </w:p>
    <w:bookmarkEnd w:id="76"/>
    <w:bookmarkStart w:id="77"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7"/>
    <w:bookmarkStart w:id="78"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8"/>
    <w:bookmarkStart w:id="79"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9"/>
    <w:bookmarkStart w:id="80"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80"/>
    <w:bookmarkStart w:id="81"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81"/>
    <w:bookmarkStart w:id="82"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82"/>
    <w:bookmarkStart w:id="83"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83"/>
    <w:bookmarkStart w:id="84"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84"/>
    <w:bookmarkStart w:id="85" w:name="ref-Halstead1993"/>
    <w:p>
      <w:pPr>
        <w:pStyle w:val="Bibliography"/>
      </w:pPr>
      <w:r>
        <w:rPr>
          <w:smallCaps/>
        </w:rPr>
        <w:t xml:space="preserve">Halstead</w:t>
      </w:r>
      <w:r>
        <w:t xml:space="preserve">, P. 1993. Spondylus shell ornaments from late Neolithic Dimini, Greece: Specialized manufacture or unequal accumulation?</w:t>
      </w:r>
      <w:r>
        <w:t xml:space="preserve"> </w:t>
      </w:r>
      <w:r>
        <w:rPr>
          <w:i/>
        </w:rPr>
        <w:t xml:space="preserve">Antiquity</w:t>
      </w:r>
      <w:r>
        <w:t xml:space="preserve"> </w:t>
      </w:r>
      <w:r>
        <w:t xml:space="preserve">67. Cambridge University Press: 603–9.</w:t>
      </w:r>
    </w:p>
    <w:bookmarkEnd w:id="85"/>
    <w:bookmarkStart w:id="86" w:name="ref-Hsieh2009"/>
    <w:p>
      <w:pPr>
        <w:pStyle w:val="Bibliography"/>
      </w:pPr>
      <w:r>
        <w:rPr>
          <w:smallCaps/>
        </w:rPr>
        <w:t xml:space="preserve">Hsieh</w:t>
      </w:r>
      <w:r>
        <w:t xml:space="preserve">, E. 2009. Yilan Kiwulan yizhi chutu wailai taociqi zhi xiangguan yanjiu [the study of imported ceramics excavated at the Ki-Wu-Lan site, I-lan]. Master’s thesis.</w:t>
      </w:r>
    </w:p>
    <w:bookmarkEnd w:id="86"/>
    <w:bookmarkStart w:id="87" w:name="ref-Hsieh2012"/>
    <w:p>
      <w:pPr>
        <w:pStyle w:val="Bibliography"/>
      </w:pPr>
      <w:r>
        <w:t xml:space="preserve">— 2012. You peizangpin de lianghua yanjiu kan Kiwulan yizhi shang wenhuaceng zaoqi neibu de shehui guanxi [exploring the social relation: A quantitative analysis of burial goods for the upper component of Kiwulan]. Lan-Yan Museum, The Institute of Yilan County History.</w:t>
      </w:r>
    </w:p>
    <w:bookmarkEnd w:id="87"/>
    <w:bookmarkStart w:id="88" w:name="ref-Hsieh1995"/>
    <w:p>
      <w:pPr>
        <w:pStyle w:val="Bibliography"/>
      </w:pPr>
      <w:r>
        <w:rPr>
          <w:smallCaps/>
        </w:rPr>
        <w:t xml:space="preserve">Hsieh</w:t>
      </w:r>
      <w:r>
        <w:t xml:space="preserve">, M.-L. 1995. Anping hu zouyi [discussion on Anping jars]</w:t>
      </w:r>
      <w:r>
        <w:t xml:space="preserve"> </w:t>
      </w:r>
      <w:r>
        <w:rPr>
          <w:i/>
        </w:rPr>
        <w:t xml:space="preserve">Guo li Taiwan da xue mei shu shi yan jiu ji kan [Taida Journal of Art History]</w:t>
      </w:r>
      <w:r>
        <w:t xml:space="preserve"> </w:t>
      </w:r>
      <w:r>
        <w:t xml:space="preserve">2. Graduate Institute Of Art History National Taiwan University: 75–105.</w:t>
      </w:r>
    </w:p>
    <w:bookmarkEnd w:id="88"/>
    <w:bookmarkStart w:id="89" w:name="ref-Hung2016"/>
    <w:p>
      <w:pPr>
        <w:pStyle w:val="Bibliography"/>
      </w:pPr>
      <w:r>
        <w:rPr>
          <w:smallCaps/>
        </w:rPr>
        <w:t xml:space="preserve">Hung</w:t>
      </w:r>
      <w:r>
        <w:t xml:space="preserve">, H.-c. &amp; C.-y.</w:t>
      </w:r>
      <w:r>
        <w:t xml:space="preserve"> </w:t>
      </w:r>
      <w:r>
        <w:rPr>
          <w:smallCaps/>
        </w:rPr>
        <w:t xml:space="preserve">Chao</w:t>
      </w:r>
      <w:r>
        <w:t xml:space="preserve">. 2016. Taiwan’s early metal age and Southeast Asian trading systems</w:t>
      </w:r>
      <w:r>
        <w:t xml:space="preserve"> </w:t>
      </w:r>
      <w:r>
        <w:rPr>
          <w:i/>
        </w:rPr>
        <w:t xml:space="preserve">Antiquity</w:t>
      </w:r>
      <w:r>
        <w:t xml:space="preserve"> </w:t>
      </w:r>
      <w:r>
        <w:t xml:space="preserve">90. Cambridge University Press: 1537–51.</w:t>
      </w:r>
    </w:p>
    <w:bookmarkEnd w:id="89"/>
    <w:bookmarkStart w:id="90" w:name="ref-Ino1996"/>
    <w:p>
      <w:pPr>
        <w:pStyle w:val="Bibliography"/>
      </w:pPr>
      <w:r>
        <w:rPr>
          <w:smallCaps/>
        </w:rPr>
        <w:t xml:space="preserve">Ino</w:t>
      </w:r>
      <w:r>
        <w:t xml:space="preserve">, K. 1996.</w:t>
      </w:r>
      <w:r>
        <w:t xml:space="preserve"> </w:t>
      </w:r>
      <w:r>
        <w:rPr>
          <w:i/>
        </w:rPr>
        <w:t xml:space="preserve">Pingpuzu diaocha luhang: Yineng jiaju (Taiwan tongxin) xuanji [research trips among the plains aborigines: Selections from Inō Kanori’s Taiwan diaries]</w:t>
      </w:r>
      <w:r>
        <w:t xml:space="preserve">. Taipei: Yuan Liou.</w:t>
      </w:r>
    </w:p>
    <w:bookmarkEnd w:id="90"/>
    <w:bookmarkStart w:id="91" w:name="ref-Zheng2015"/>
    <w:p>
      <w:pPr>
        <w:pStyle w:val="Bibliography"/>
      </w:pPr>
      <w:r>
        <w:rPr>
          <w:smallCaps/>
        </w:rPr>
        <w:t xml:space="preserve">Jane</w:t>
      </w:r>
      <w:r>
        <w:t xml:space="preserve">, Z.J. 2015. The legal approach to historic preservation: A comparative study of historic preservation laws in New York and Hong Kong</w:t>
      </w:r>
      <w:r>
        <w:t xml:space="preserve"> </w:t>
      </w:r>
      <w:r>
        <w:rPr>
          <w:i/>
        </w:rPr>
        <w:t xml:space="preserve">SCIENTIFIC CULTURE</w:t>
      </w:r>
      <w:r>
        <w:t xml:space="preserve"> </w:t>
      </w:r>
      <w:r>
        <w:t xml:space="preserve">1: 61–68.</w:t>
      </w:r>
    </w:p>
    <w:bookmarkEnd w:id="91"/>
    <w:bookmarkStart w:id="9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92"/>
    <w:bookmarkStart w:id="9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93"/>
    <w:bookmarkStart w:id="94" w:name="ref-Kang2012"/>
    <w:p>
      <w:pPr>
        <w:pStyle w:val="Bibliography"/>
      </w:pPr>
      <w:r>
        <w:rPr>
          <w:smallCaps/>
        </w:rPr>
        <w:t xml:space="preserve">Kang</w:t>
      </w:r>
      <w:r>
        <w:t xml:space="preserve">, P. 2012. Helan dongyindu gongsi zhixia de Kavalan diqu tezhi [the charateristics of Kavalan under colonial rule of the Dutch East India Company], in M.-C. Hsu &amp; S.-Y. Li (ed.)</w:t>
      </w:r>
      <w:r>
        <w:t xml:space="preserve"> </w:t>
      </w:r>
      <w:r>
        <w:rPr>
          <w:i/>
        </w:rPr>
        <w:t xml:space="preserve">Exploring kiwulan: The ninth academic conference of yilan study</w:t>
      </w:r>
      <w:r>
        <w:t xml:space="preserve">, 35: 291–317. Yilan: Institute of Yilan County History.</w:t>
      </w:r>
    </w:p>
    <w:bookmarkEnd w:id="94"/>
    <w:bookmarkStart w:id="95" w:name="ref-Kang2016"/>
    <w:p>
      <w:pPr>
        <w:pStyle w:val="Bibliography"/>
      </w:pPr>
      <w:r>
        <w:t xml:space="preserve">— 2016.</w:t>
      </w:r>
      <w:r>
        <w:t xml:space="preserve"> </w:t>
      </w:r>
      <w:r>
        <w:rPr>
          <w:i/>
        </w:rPr>
        <w:t xml:space="preserve">Zhimin xiangxiang yu difang liubian: Helan dongyindu gongsi yu Taiwan yuanzhumin [colonial imagination and local variations: The Dutch East India Company and the Formosan Austronesians]</w:t>
      </w:r>
      <w:r>
        <w:t xml:space="preserve">. Lian-jing.</w:t>
      </w:r>
    </w:p>
    <w:bookmarkEnd w:id="95"/>
    <w:bookmarkStart w:id="96" w:name="ref-Ke1993"/>
    <w:p>
      <w:pPr>
        <w:pStyle w:val="Bibliography"/>
      </w:pPr>
      <w:r>
        <w:rPr>
          <w:smallCaps/>
        </w:rPr>
        <w:t xml:space="preserve">Ke</w:t>
      </w:r>
      <w:r>
        <w:t xml:space="preserve">, P. 1993.</w:t>
      </w:r>
      <w:r>
        <w:t xml:space="preserve"> </w:t>
      </w:r>
      <w:r>
        <w:rPr>
          <w:i/>
        </w:rPr>
        <w:t xml:space="preserve">Kavalan zhilue [record of Kavalan]</w:t>
      </w:r>
      <w:r>
        <w:t xml:space="preserve">. Nantou: Historical Records Committee of Taiwan Provincial Government.</w:t>
      </w:r>
    </w:p>
    <w:bookmarkEnd w:id="96"/>
    <w:bookmarkStart w:id="9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97"/>
    <w:bookmarkStart w:id="9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98"/>
    <w:bookmarkStart w:id="99" w:name="ref-Kintigh1982"/>
    <w:p>
      <w:pPr>
        <w:pStyle w:val="Bibliography"/>
      </w:pPr>
      <w:r>
        <w:rPr>
          <w:smallCaps/>
        </w:rPr>
        <w:t xml:space="preserve">Kintigh</w:t>
      </w:r>
      <w:r>
        <w:t xml:space="preserve">, K.W. &amp; A.J.</w:t>
      </w:r>
      <w:r>
        <w:t xml:space="preserve"> </w:t>
      </w:r>
      <w:r>
        <w:rPr>
          <w:smallCaps/>
        </w:rPr>
        <w:t xml:space="preserve">Ammerman</w:t>
      </w:r>
      <w:r>
        <w:t xml:space="preserve">. 1982. Heuristic approaches to spatial analysis in archaeology</w:t>
      </w:r>
      <w:r>
        <w:t xml:space="preserve"> </w:t>
      </w:r>
      <w:r>
        <w:rPr>
          <w:i/>
        </w:rPr>
        <w:t xml:space="preserve">American Antiquity</w:t>
      </w:r>
      <w:r>
        <w:t xml:space="preserve"> </w:t>
      </w:r>
      <w:r>
        <w:t xml:space="preserve">47. Cambridge University Press: 31–63.</w:t>
      </w:r>
    </w:p>
    <w:bookmarkEnd w:id="99"/>
    <w:bookmarkStart w:id="100"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100"/>
    <w:bookmarkStart w:id="101" w:name="ref-Li2014"/>
    <w:p>
      <w:pPr>
        <w:pStyle w:val="Bibliography"/>
      </w:pPr>
      <w:r>
        <w:rPr>
          <w:smallCaps/>
        </w:rPr>
        <w:t xml:space="preserve">Li</w:t>
      </w:r>
      <w:r>
        <w:t xml:space="preserve">, C.-y. &amp; S.-j.</w:t>
      </w:r>
      <w:r>
        <w:t xml:space="preserve"> </w:t>
      </w:r>
      <w:r>
        <w:rPr>
          <w:smallCaps/>
        </w:rPr>
        <w:t xml:space="preserve">Chiu</w:t>
      </w:r>
      <w:r>
        <w:t xml:space="preserve">. 2014. Yilan nongxiao yizhi fajue [a report on excavations in the Yi-lang Agricultural Vocational High School site, 2000-2008]</w:t>
      </w:r>
      <w:r>
        <w:t xml:space="preserve"> </w:t>
      </w:r>
      <w:r>
        <w:rPr>
          <w:i/>
        </w:rPr>
        <w:t xml:space="preserve">Field Archaeology of Taiwan</w:t>
      </w:r>
      <w:r>
        <w:t xml:space="preserve"> </w:t>
      </w:r>
      <w:r>
        <w:t xml:space="preserve">17: 59–120.</w:t>
      </w:r>
    </w:p>
    <w:bookmarkEnd w:id="101"/>
    <w:bookmarkStart w:id="102"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Xibanya ren zai Taiwan, 1626-1642 [the Spanish in Taiwan]</w:t>
      </w:r>
      <w:r>
        <w:t xml:space="preserve">. Nantou: Taiwan Historica.</w:t>
      </w:r>
    </w:p>
    <w:bookmarkEnd w:id="102"/>
    <w:bookmarkStart w:id="103" w:name="ref-Lin2015"/>
    <w:p>
      <w:pPr>
        <w:pStyle w:val="Bibliography"/>
      </w:pPr>
      <w:r>
        <w:rPr>
          <w:smallCaps/>
        </w:rPr>
        <w:t xml:space="preserve">Lin</w:t>
      </w:r>
      <w:r>
        <w:t xml:space="preserve">, S.-f. 2015. Juluo fazhan yu ziran huanjing bianqian: Yi Yilan diqu shiqian weili [settlement development and environmental changes: A case study of the prehistory of Yilan], in Y.-c. Liu (ed.)</w:t>
      </w:r>
      <w:r>
        <w:t xml:space="preserve"> </w:t>
      </w:r>
      <w:r>
        <w:rPr>
          <w:i/>
        </w:rPr>
        <w:t xml:space="preserve">Tai wan shi qian shi zhuan lun [studies of the prehistory in taiwan]</w:t>
      </w:r>
      <w:r>
        <w:t xml:space="preserve">: 319–45. Academia Sinica, Lian-jing.</w:t>
      </w:r>
    </w:p>
    <w:bookmarkEnd w:id="103"/>
    <w:bookmarkStart w:id="104" w:name="ref-Liu2011"/>
    <w:p>
      <w:pPr>
        <w:pStyle w:val="Bibliography"/>
      </w:pPr>
      <w:r>
        <w:rPr>
          <w:smallCaps/>
        </w:rPr>
        <w:t xml:space="preserve">Liu</w:t>
      </w:r>
      <w:r>
        <w:t xml:space="preserve">, Y.-c. 2011.</w:t>
      </w:r>
      <w:r>
        <w:t xml:space="preserve"> </w:t>
      </w:r>
      <w:r>
        <w:rPr>
          <w:i/>
        </w:rPr>
        <w:t xml:space="preserve">Taiwan quanzhi zhumin zhi kaogu pian [the history of Taiwan: Indigenous people and archaeology]</w:t>
      </w:r>
      <w:r>
        <w:t xml:space="preserve">. Vol. 3. Nan-Tou: Taiwan Historica.</w:t>
      </w:r>
    </w:p>
    <w:bookmarkEnd w:id="104"/>
    <w:bookmarkStart w:id="105"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105"/>
    <w:bookmarkStart w:id="106" w:name="ref-Mackey1895"/>
    <w:p>
      <w:pPr>
        <w:pStyle w:val="Bibliography"/>
      </w:pPr>
      <w:r>
        <w:rPr>
          <w:smallCaps/>
        </w:rPr>
        <w:t xml:space="preserve">Mackey</w:t>
      </w:r>
      <w:r>
        <w:t xml:space="preserve">, G.L. 1895.</w:t>
      </w:r>
      <w:r>
        <w:t xml:space="preserve"> </w:t>
      </w:r>
      <w:r>
        <w:rPr>
          <w:i/>
        </w:rPr>
        <w:t xml:space="preserve">From far Formosa</w:t>
      </w:r>
      <w:r>
        <w:t xml:space="preserve">. H. Revell.</w:t>
      </w:r>
    </w:p>
    <w:bookmarkEnd w:id="106"/>
    <w:bookmarkStart w:id="107"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107"/>
    <w:bookmarkStart w:id="108"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108"/>
    <w:bookmarkStart w:id="109" w:name="ref-Mitchell2010"/>
    <w:p>
      <w:pPr>
        <w:pStyle w:val="Bibliography"/>
      </w:pPr>
      <w:r>
        <w:rPr>
          <w:smallCaps/>
        </w:rPr>
        <w:t xml:space="preserve">Mitchell</w:t>
      </w:r>
      <w:r>
        <w:t xml:space="preserve">, M.D. &amp; L.L.</w:t>
      </w:r>
      <w:r>
        <w:t xml:space="preserve"> </w:t>
      </w:r>
      <w:r>
        <w:rPr>
          <w:smallCaps/>
        </w:rPr>
        <w:t xml:space="preserve">Scheiber</w:t>
      </w:r>
      <w:r>
        <w:t xml:space="preserve">. 2010. Crossing divides: Archaeology as long-term history, in L.L. Scheiber &amp; M.D. Mitchell (ed.)</w:t>
      </w:r>
      <w:r>
        <w:t xml:space="preserve"> </w:t>
      </w:r>
      <w:r>
        <w:rPr>
          <w:i/>
        </w:rPr>
        <w:t xml:space="preserve">Across a great divide: Continuity and change in native North American societies, 1400–1900</w:t>
      </w:r>
      <w:r>
        <w:t xml:space="preserve">, 4: 1–22. University of Arizona Press Tuscon.</w:t>
      </w:r>
    </w:p>
    <w:bookmarkEnd w:id="109"/>
    <w:bookmarkStart w:id="110"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110"/>
    <w:bookmarkStart w:id="111" w:name="ref-Nakamura1938"/>
    <w:p>
      <w:pPr>
        <w:pStyle w:val="Bibliography"/>
      </w:pPr>
      <w:r>
        <w:rPr>
          <w:smallCaps/>
        </w:rPr>
        <w:t xml:space="preserve">Nakamura</w:t>
      </w:r>
      <w:r>
        <w:t xml:space="preserve">. 1938. Ranzin zidai no genbasya hoxukou biyao [the Dutch cencus record for Indigenous peoples in Taiwan]</w:t>
      </w:r>
      <w:r>
        <w:t xml:space="preserve"> </w:t>
      </w:r>
      <w:r>
        <w:rPr>
          <w:i/>
        </w:rPr>
        <w:t xml:space="preserve">Southern Anthropological Studies</w:t>
      </w:r>
      <w:r>
        <w:t xml:space="preserve"> </w:t>
      </w:r>
      <w:r>
        <w:t xml:space="preserve">4: 12.</w:t>
      </w:r>
    </w:p>
    <w:bookmarkEnd w:id="111"/>
    <w:bookmarkStart w:id="112" w:name="ref-NMTH2005"/>
    <w:p>
      <w:pPr>
        <w:pStyle w:val="Bibliography"/>
      </w:pPr>
      <w:r>
        <w:rPr>
          <w:smallCaps/>
        </w:rPr>
        <w:t xml:space="preserve">National Musuem of Taiwan History</w:t>
      </w:r>
      <w:r>
        <w:t xml:space="preserve">, A. group in. 2005. Shiqi shiji hexi shiqi bei Taiwan lishi kaogu yanjiu chengguo baogao [Taiwan under Dutch and Spanish: A report of historical archaeological research in northern Taiwan]. Vol. 2. Taipei: National Musuem of Taiwan History.</w:t>
      </w:r>
    </w:p>
    <w:bookmarkEnd w:id="112"/>
    <w:bookmarkStart w:id="113" w:name="ref-Orser1988"/>
    <w:p>
      <w:pPr>
        <w:pStyle w:val="Bibliography"/>
      </w:pPr>
      <w:r>
        <w:rPr>
          <w:smallCaps/>
        </w:rPr>
        <w:t xml:space="preserve">Orser</w:t>
      </w:r>
      <w:r>
        <w:t xml:space="preserve">, C.E. 1988. The archaeological analysis of plantation society: Replacing status and caste with economics and power</w:t>
      </w:r>
      <w:r>
        <w:t xml:space="preserve"> </w:t>
      </w:r>
      <w:r>
        <w:rPr>
          <w:i/>
        </w:rPr>
        <w:t xml:space="preserve">American Antiquity</w:t>
      </w:r>
      <w:r>
        <w:t xml:space="preserve"> </w:t>
      </w:r>
      <w:r>
        <w:t xml:space="preserve">53. Cambridge University Press: 735–51.</w:t>
      </w:r>
    </w:p>
    <w:bookmarkEnd w:id="113"/>
    <w:bookmarkStart w:id="114" w:name="ref-Pearson1993"/>
    <w:p>
      <w:pPr>
        <w:pStyle w:val="Bibliography"/>
      </w:pPr>
      <w:r>
        <w:rPr>
          <w:smallCaps/>
        </w:rPr>
        <w:t xml:space="preserve">Pearson</w:t>
      </w:r>
      <w:r>
        <w:t xml:space="preserve">, M.P. 1993. The powerful dead: Archaeological relationships between the living and the dead</w:t>
      </w:r>
      <w:r>
        <w:t xml:space="preserve"> </w:t>
      </w:r>
      <w:r>
        <w:rPr>
          <w:i/>
        </w:rPr>
        <w:t xml:space="preserve">Cambridge Archaeological Journal</w:t>
      </w:r>
      <w:r>
        <w:t xml:space="preserve"> </w:t>
      </w:r>
      <w:r>
        <w:t xml:space="preserve">3. Cambridge University Press: 203–29.</w:t>
      </w:r>
    </w:p>
    <w:bookmarkEnd w:id="114"/>
    <w:bookmarkStart w:id="116"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15">
        <w:r>
          <w:rPr>
            <w:rStyle w:val="Hyperlink"/>
          </w:rPr>
          <w:t xml:space="preserve">https://www.R-project.org</w:t>
        </w:r>
      </w:hyperlink>
      <w:r>
        <w:t xml:space="preserve">.</w:t>
      </w:r>
    </w:p>
    <w:bookmarkEnd w:id="116"/>
    <w:bookmarkStart w:id="117"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17"/>
    <w:bookmarkStart w:id="118"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18"/>
    <w:bookmarkStart w:id="119" w:name="ref-Scheiber2012"/>
    <w:p>
      <w:pPr>
        <w:pStyle w:val="Bibliography"/>
      </w:pPr>
      <w:r>
        <w:rPr>
          <w:smallCaps/>
        </w:rPr>
        <w:t xml:space="preserve">Scheiber</w:t>
      </w:r>
      <w:r>
        <w:t xml:space="preserve">, L.L. &amp; J.B.</w:t>
      </w:r>
      <w:r>
        <w:t xml:space="preserve"> </w:t>
      </w:r>
      <w:r>
        <w:rPr>
          <w:smallCaps/>
        </w:rPr>
        <w:t xml:space="preserve">Finley</w:t>
      </w:r>
      <w:r>
        <w:t xml:space="preserve">. 2012. Situating (proto) history on the northwestern plains and Rocky Mountains, in T.R. Pauketat (ed.)</w:t>
      </w:r>
      <w:r>
        <w:t xml:space="preserve"> </w:t>
      </w:r>
      <w:r>
        <w:rPr>
          <w:i/>
        </w:rPr>
        <w:t xml:space="preserve">The oxford handbook of north american archaeology</w:t>
      </w:r>
      <w:r>
        <w:t xml:space="preserve">: 347–58. Oxford University Press.</w:t>
      </w:r>
    </w:p>
    <w:bookmarkEnd w:id="119"/>
    <w:bookmarkStart w:id="120"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20"/>
    <w:bookmarkStart w:id="121"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21"/>
    <w:bookmarkStart w:id="122"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22"/>
    <w:bookmarkStart w:id="123"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23"/>
    <w:bookmarkStart w:id="124"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Routledge.</w:t>
      </w:r>
    </w:p>
    <w:bookmarkEnd w:id="124"/>
    <w:bookmarkStart w:id="125"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25"/>
    <w:bookmarkStart w:id="126" w:name="ref-Trabert2018"/>
    <w:p>
      <w:pPr>
        <w:pStyle w:val="Bibliography"/>
      </w:pPr>
      <w:r>
        <w:t xml:space="preserve">— 2018. Reframing the protohistoric period and the (peri) colonial process for the North American Central Plains</w:t>
      </w:r>
      <w:r>
        <w:t xml:space="preserve"> </w:t>
      </w:r>
      <w:r>
        <w:rPr>
          <w:i/>
        </w:rPr>
        <w:t xml:space="preserve">World Archaeology</w:t>
      </w:r>
      <w:r>
        <w:t xml:space="preserve"> </w:t>
      </w:r>
      <w:r>
        <w:t xml:space="preserve">50. Taylor &amp; Francis: 820–34.</w:t>
      </w:r>
    </w:p>
    <w:bookmarkEnd w:id="126"/>
    <w:bookmarkStart w:id="127" w:name="ref-Trubitt2003"/>
    <w:p>
      <w:pPr>
        <w:pStyle w:val="Bibliography"/>
      </w:pPr>
      <w:r>
        <w:rPr>
          <w:smallCaps/>
        </w:rPr>
        <w:t xml:space="preserve">Trubitt</w:t>
      </w:r>
      <w:r>
        <w:t xml:space="preserve">, M.B.D. 2003. The production and exchange of marine shell prestige goods</w:t>
      </w:r>
      <w:r>
        <w:t xml:space="preserve"> </w:t>
      </w:r>
      <w:r>
        <w:rPr>
          <w:i/>
        </w:rPr>
        <w:t xml:space="preserve">Journal of Archaeological Research</w:t>
      </w:r>
      <w:r>
        <w:t xml:space="preserve"> </w:t>
      </w:r>
      <w:r>
        <w:t xml:space="preserve">11. Springer: 243–77.</w:t>
      </w:r>
    </w:p>
    <w:bookmarkEnd w:id="127"/>
    <w:bookmarkStart w:id="128" w:name="ref-Uccar2019"/>
    <w:p>
      <w:pPr>
        <w:pStyle w:val="Bibliography"/>
      </w:pPr>
      <w:r>
        <w:rPr>
          <w:smallCaps/>
        </w:rPr>
        <w:t xml:space="preserve">Uçar</w:t>
      </w:r>
      <w:r>
        <w:t xml:space="preserve">, H. 2019. Archaeological proof of enjoy at tire kutu han: Clay pipes</w:t>
      </w:r>
      <w:r>
        <w:t xml:space="preserve"> </w:t>
      </w:r>
      <w:r>
        <w:rPr>
          <w:i/>
        </w:rPr>
        <w:t xml:space="preserve">Mediterranean Archaeology and Archaeometry</w:t>
      </w:r>
      <w:r>
        <w:t xml:space="preserve"> </w:t>
      </w:r>
      <w:r>
        <w:t xml:space="preserve">19: 119–34.</w:t>
      </w:r>
    </w:p>
    <w:bookmarkEnd w:id="128"/>
    <w:bookmarkStart w:id="129"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29"/>
    <w:bookmarkStart w:id="130"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30"/>
    <w:bookmarkStart w:id="131" w:name="ref-Wang2014"/>
    <w:p>
      <w:pPr>
        <w:pStyle w:val="Bibliography"/>
      </w:pPr>
      <w:r>
        <w:rPr>
          <w:smallCaps/>
        </w:rPr>
        <w:t xml:space="preserve">Wang</w:t>
      </w:r>
      <w:r>
        <w:t xml:space="preserve">, K.-W. &amp; C.</w:t>
      </w:r>
      <w:r>
        <w:t xml:space="preserve"> </w:t>
      </w:r>
      <w:r>
        <w:rPr>
          <w:smallCaps/>
        </w:rPr>
        <w:t xml:space="preserve">Jackson</w:t>
      </w:r>
      <w:r>
        <w:t xml:space="preserve">. 2014. A review of glass compositions around the South China Sea region (the late 1st millennium BC to the 1st millennium AD): Placing Iron Age glass beads from Taiwan in context</w:t>
      </w:r>
      <w:r>
        <w:t xml:space="preserve"> </w:t>
      </w:r>
      <w:r>
        <w:rPr>
          <w:i/>
        </w:rPr>
        <w:t xml:space="preserve">Journal of Indo-Pacific Archaeology</w:t>
      </w:r>
      <w:r>
        <w:t xml:space="preserve"> </w:t>
      </w:r>
      <w:r>
        <w:t xml:space="preserve">34: 51–60.</w:t>
      </w:r>
    </w:p>
    <w:bookmarkEnd w:id="131"/>
    <w:bookmarkStart w:id="132" w:name="ref-Wang2011"/>
    <w:p>
      <w:pPr>
        <w:pStyle w:val="Bibliography"/>
      </w:pPr>
      <w:r>
        <w:rPr>
          <w:smallCaps/>
        </w:rPr>
        <w:t xml:space="preserve">Wang</w:t>
      </w:r>
      <w:r>
        <w:t xml:space="preserve">, L.-Y. 2011. Yilan Kiwulan yizhi chutu zhuangshipin zhi xiangguan yanjiu [a research of ornaments excavated at Kiwulan site, I-lan]. Master’s thesis.</w:t>
      </w:r>
    </w:p>
    <w:bookmarkEnd w:id="132"/>
    <w:bookmarkStart w:id="133" w:name="ref-Wang2007"/>
    <w:p>
      <w:pPr>
        <w:pStyle w:val="Bibliography"/>
      </w:pPr>
      <w:r>
        <w:rPr>
          <w:smallCaps/>
        </w:rPr>
        <w:t xml:space="preserve">Wang</w:t>
      </w:r>
      <w:r>
        <w:t xml:space="preserve">, S.-C. &amp; Y.-C.</w:t>
      </w:r>
      <w:r>
        <w:t xml:space="preserve"> </w:t>
      </w:r>
      <w:r>
        <w:rPr>
          <w:smallCaps/>
        </w:rPr>
        <w:t xml:space="preserve">Liu</w:t>
      </w:r>
      <w:r>
        <w:t xml:space="preserve">. 2007. Shiqi shiji qianhou Taiwan boli zhushi yu yancao, yandou de shuru wangluo -yige xin de jiaohuan jieduan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33"/>
    <w:bookmarkStart w:id="134" w:name="ref-Wason2004"/>
    <w:p>
      <w:pPr>
        <w:pStyle w:val="Bibliography"/>
      </w:pPr>
      <w:r>
        <w:rPr>
          <w:smallCaps/>
        </w:rPr>
        <w:t xml:space="preserve">Wason</w:t>
      </w:r>
      <w:r>
        <w:t xml:space="preserve">, P.K. 2004.</w:t>
      </w:r>
      <w:r>
        <w:t xml:space="preserve"> </w:t>
      </w:r>
      <w:r>
        <w:rPr>
          <w:i/>
        </w:rPr>
        <w:t xml:space="preserve">The archaeology of rank</w:t>
      </w:r>
      <w:r>
        <w:t xml:space="preserve">. Cambridge University Press.</w:t>
      </w:r>
    </w:p>
    <w:bookmarkEnd w:id="134"/>
    <w:bookmarkStart w:id="135" w:name="ref-Yao1996"/>
    <w:p>
      <w:pPr>
        <w:pStyle w:val="Bibliography"/>
      </w:pPr>
      <w:r>
        <w:rPr>
          <w:smallCaps/>
        </w:rPr>
        <w:t xml:space="preserve">Yao</w:t>
      </w:r>
      <w:r>
        <w:t xml:space="preserve">, ying. 1996.</w:t>
      </w:r>
      <w:r>
        <w:t xml:space="preserve"> </w:t>
      </w:r>
      <w:r>
        <w:rPr>
          <w:i/>
        </w:rPr>
        <w:t xml:space="preserve">Dongcha jilue [record of Taiwan]</w:t>
      </w:r>
      <w:r>
        <w:t xml:space="preserve">. Nantou: Taiwan Historica.</w:t>
      </w:r>
    </w:p>
    <w:bookmarkEnd w:id="135"/>
    <w:bookmarkEnd w:id="136"/>
    <w:p>
      <w:pPr>
        <w:pStyle w:val="Heading3"/>
      </w:pPr>
      <w:bookmarkStart w:id="137" w:name="colophon"/>
      <w:r>
        <w:t xml:space="preserve">Colophon</w:t>
      </w:r>
      <w:bookmarkEnd w:id="137"/>
    </w:p>
    <w:p>
      <w:pPr>
        <w:pStyle w:val="FirstParagraph"/>
      </w:pPr>
      <w:r>
        <w:t xml:space="preserve">This report was generated on 2020-07-09 11:39:56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4.0.2 (2020-06-22)</w:t>
      </w:r>
      <w:r>
        <w:br/>
      </w:r>
      <w:r>
        <w:rPr>
          <w:rStyle w:val="VerbatimChar"/>
        </w:rPr>
        <w:t xml:space="preserve">#&gt;  os       macOS Catalina 10.15.5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2020-07-09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1.4-5    2016-07-21 [?] CRAN (R 4.0.0)                     </w:t>
      </w:r>
      <w:r>
        <w:br/>
      </w:r>
      <w:r>
        <w:rPr>
          <w:rStyle w:val="VerbatimChar"/>
        </w:rPr>
        <w:t xml:space="preserve">#&gt;  P assertthat       0.2.1    2019-03-21 [?] CRAN (R 4.0.0)                     </w:t>
      </w:r>
      <w:r>
        <w:br/>
      </w:r>
      <w:r>
        <w:rPr>
          <w:rStyle w:val="VerbatimChar"/>
        </w:rPr>
        <w:t xml:space="preserve">#&gt;  P backports        1.1.7    2020-05-13 [?] CRAN (R 4.0.0)                     </w:t>
      </w:r>
      <w:r>
        <w:br/>
      </w:r>
      <w:r>
        <w:rPr>
          <w:rStyle w:val="VerbatimChar"/>
        </w:rPr>
        <w:t xml:space="preserve">#&gt;  P Bchron         * 4.7.1    2020-04-13 [?] CRAN (R 4.0.0)                     </w:t>
      </w:r>
      <w:r>
        <w:br/>
      </w:r>
      <w:r>
        <w:rPr>
          <w:rStyle w:val="VerbatimChar"/>
        </w:rPr>
        <w:t xml:space="preserve">#&gt;  P bitops           1.0-6    2013-08-17 [?] CRAN (R 4.0.0)                     </w:t>
      </w:r>
      <w:r>
        <w:br/>
      </w:r>
      <w:r>
        <w:rPr>
          <w:rStyle w:val="VerbatimChar"/>
        </w:rPr>
        <w:t xml:space="preserve">#&gt;    blob             1.2.1    2020-01-20 [2] CRAN (R 4.0.0)                     </w:t>
      </w:r>
      <w:r>
        <w:br/>
      </w:r>
      <w:r>
        <w:rPr>
          <w:rStyle w:val="VerbatimChar"/>
        </w:rPr>
        <w:t xml:space="preserve">#&gt;    bookdown         0.20     2020-06-23 [2] CRAN (R 4.0.0)                     </w:t>
      </w:r>
      <w:r>
        <w:br/>
      </w:r>
      <w:r>
        <w:rPr>
          <w:rStyle w:val="VerbatimChar"/>
        </w:rPr>
        <w:t xml:space="preserve">#&gt;    broom            0.5.6    2020-04-20 [2] CRAN (R 4.0.0)                     </w:t>
      </w:r>
      <w:r>
        <w:br/>
      </w:r>
      <w:r>
        <w:rPr>
          <w:rStyle w:val="VerbatimChar"/>
        </w:rPr>
        <w:t xml:space="preserve">#&gt;  P callr            3.4.3    2020-03-28 [?] CRAN (R 4.0.0)                     </w:t>
      </w:r>
      <w:r>
        <w:br/>
      </w:r>
      <w:r>
        <w:rPr>
          <w:rStyle w:val="VerbatimChar"/>
        </w:rPr>
        <w:t xml:space="preserve">#&gt;    cartography    * 2.4.1    2020-04-20 [2] CRAN (R 4.0.0)                     </w:t>
      </w:r>
      <w:r>
        <w:br/>
      </w:r>
      <w:r>
        <w:rPr>
          <w:rStyle w:val="VerbatimChar"/>
        </w:rPr>
        <w:t xml:space="preserve">#&gt;    cellranger       1.1.0    2016-07-27 [2] CRAN (R 4.0.0)                     </w:t>
      </w:r>
      <w:r>
        <w:br/>
      </w:r>
      <w:r>
        <w:rPr>
          <w:rStyle w:val="VerbatimChar"/>
        </w:rPr>
        <w:t xml:space="preserve">#&gt;  P class            7.3-17   2020-04-26 [?] CRAN (R 4.0.0)                     </w:t>
      </w:r>
      <w:r>
        <w:br/>
      </w:r>
      <w:r>
        <w:rPr>
          <w:rStyle w:val="VerbatimChar"/>
        </w:rPr>
        <w:t xml:space="preserve">#&gt;  P classInt         0.4-3    2020-04-07 [?] CRAN (R 4.0.0)                     </w:t>
      </w:r>
      <w:r>
        <w:br/>
      </w:r>
      <w:r>
        <w:rPr>
          <w:rStyle w:val="VerbatimChar"/>
        </w:rPr>
        <w:t xml:space="preserve">#&gt;  P cli              2.0.2    2020-02-28 [?] CRAN (R 4.0.0)                     </w:t>
      </w:r>
      <w:r>
        <w:br/>
      </w:r>
      <w:r>
        <w:rPr>
          <w:rStyle w:val="VerbatimChar"/>
        </w:rPr>
        <w:t xml:space="preserve">#&gt;    codetools        0.2-16   2018-12-24 [2] CRAN (R 4.0.2)                     </w:t>
      </w:r>
      <w:r>
        <w:br/>
      </w:r>
      <w:r>
        <w:rPr>
          <w:rStyle w:val="VerbatimChar"/>
        </w:rPr>
        <w:t xml:space="preserve">#&gt;  P colorspace       1.4-1    2019-03-18 [?] CRAN (R 4.0.0)                     </w:t>
      </w:r>
      <w:r>
        <w:br/>
      </w:r>
      <w:r>
        <w:rPr>
          <w:rStyle w:val="VerbatimChar"/>
        </w:rPr>
        <w:t xml:space="preserve">#&gt;    cowplot        * 1.0.0    2019-07-11 [2] CRAN (R 4.0.0)                     </w:t>
      </w:r>
      <w:r>
        <w:br/>
      </w:r>
      <w:r>
        <w:rPr>
          <w:rStyle w:val="VerbatimChar"/>
        </w:rPr>
        <w:t xml:space="preserve">#&gt;  P crayon           1.3.4    2017-09-16 [?] CRAN (R 4.0.0)                     </w:t>
      </w:r>
      <w:r>
        <w:br/>
      </w:r>
      <w:r>
        <w:rPr>
          <w:rStyle w:val="VerbatimChar"/>
        </w:rPr>
        <w:t xml:space="preserve">#&gt;  P curl             4.3      2019-12-02 [?] CRAN (R 4.0.0)                     </w:t>
      </w:r>
      <w:r>
        <w:br/>
      </w:r>
      <w:r>
        <w:rPr>
          <w:rStyle w:val="VerbatimChar"/>
        </w:rPr>
        <w:t xml:space="preserve">#&gt;  P DBI              1.1.0    2019-12-15 [?] CRAN (R 4.0.0)                     </w:t>
      </w:r>
      <w:r>
        <w:br/>
      </w:r>
      <w:r>
        <w:rPr>
          <w:rStyle w:val="VerbatimChar"/>
        </w:rPr>
        <w:t xml:space="preserve">#&gt;    dbplyr           1.4.4    2020-05-27 [2] CRAN (R 4.0.0)                     </w:t>
      </w:r>
      <w:r>
        <w:br/>
      </w:r>
      <w:r>
        <w:rPr>
          <w:rStyle w:val="VerbatimChar"/>
        </w:rPr>
        <w:t xml:space="preserve">#&gt;  P deldir           0.1-25   2020-02-03 [?] CRAN (R 4.0.0)                     </w:t>
      </w:r>
      <w:r>
        <w:br/>
      </w:r>
      <w:r>
        <w:rPr>
          <w:rStyle w:val="VerbatimChar"/>
        </w:rPr>
        <w:t xml:space="preserve">#&gt;  P desc             1.2.0    2018-05-01 [?] CRAN (R 4.0.0)                     </w:t>
      </w:r>
      <w:r>
        <w:br/>
      </w:r>
      <w:r>
        <w:rPr>
          <w:rStyle w:val="VerbatimChar"/>
        </w:rPr>
        <w:t xml:space="preserve">#&gt;    devtools         2.3.0    2020-04-10 [2] CRAN (R 4.0.0)                     </w:t>
      </w:r>
      <w:r>
        <w:br/>
      </w:r>
      <w:r>
        <w:rPr>
          <w:rStyle w:val="VerbatimChar"/>
        </w:rPr>
        <w:t xml:space="preserve">#&gt;  P digest           0.6.25   2020-02-23 [?] CRAN (R 4.0.0)                     </w:t>
      </w:r>
      <w:r>
        <w:br/>
      </w:r>
      <w:r>
        <w:rPr>
          <w:rStyle w:val="VerbatimChar"/>
        </w:rPr>
        <w:t xml:space="preserve">#&gt;  P dplyr          * 1.0.0    2020-05-29 [?] CRAN (R 4.0.0)                     </w:t>
      </w:r>
      <w:r>
        <w:br/>
      </w:r>
      <w:r>
        <w:rPr>
          <w:rStyle w:val="VerbatimChar"/>
        </w:rPr>
        <w:t xml:space="preserve">#&gt;  P e1071            1.7-3    2019-11-26 [?] CRAN (R 4.0.0)                     </w:t>
      </w:r>
      <w:r>
        <w:br/>
      </w:r>
      <w:r>
        <w:rPr>
          <w:rStyle w:val="VerbatimChar"/>
        </w:rPr>
        <w:t xml:space="preserve">#&gt;  P ellipsis         0.3.1    2020-05-15 [?] CRAN (R 4.0.0)                     </w:t>
      </w:r>
      <w:r>
        <w:br/>
      </w:r>
      <w:r>
        <w:rPr>
          <w:rStyle w:val="VerbatimChar"/>
        </w:rPr>
        <w:t xml:space="preserve">#&gt;  P evaluate         0.14     2019-05-28 [?] CRAN (R 4.0.0)                     </w:t>
      </w:r>
      <w:r>
        <w:br/>
      </w:r>
      <w:r>
        <w:rPr>
          <w:rStyle w:val="VerbatimChar"/>
        </w:rPr>
        <w:t xml:space="preserve">#&gt;  P fansi            0.4.1    2020-01-08 [?] CRAN (R 4.0.0)                     </w:t>
      </w:r>
      <w:r>
        <w:br/>
      </w:r>
      <w:r>
        <w:rPr>
          <w:rStyle w:val="VerbatimChar"/>
        </w:rPr>
        <w:t xml:space="preserve">#&gt;  P farver           2.0.3    2020-01-16 [?] CRAN (R 4.0.0)                     </w:t>
      </w:r>
      <w:r>
        <w:br/>
      </w:r>
      <w:r>
        <w:rPr>
          <w:rStyle w:val="VerbatimChar"/>
        </w:rPr>
        <w:t xml:space="preserve">#&gt;    forcats        * 0.5.0    2020-03-01 [2] CRAN (R 4.0.0)                     </w:t>
      </w:r>
      <w:r>
        <w:br/>
      </w:r>
      <w:r>
        <w:rPr>
          <w:rStyle w:val="VerbatimChar"/>
        </w:rPr>
        <w:t xml:space="preserve">#&gt;  P foreign          0.8-80   2020-05-24 [?] CRAN (R 4.0.0)                     </w:t>
      </w:r>
      <w:r>
        <w:br/>
      </w:r>
      <w:r>
        <w:rPr>
          <w:rStyle w:val="VerbatimChar"/>
        </w:rPr>
        <w:t xml:space="preserve">#&gt;    fs               1.4.1    2020-04-04 [2] CRAN (R 4.0.0)                     </w:t>
      </w:r>
      <w:r>
        <w:br/>
      </w:r>
      <w:r>
        <w:rPr>
          <w:rStyle w:val="VerbatimChar"/>
        </w:rPr>
        <w:t xml:space="preserve">#&gt;  P generics         0.0.2    2018-11-29 [?] CRAN (R 4.0.0)                     </w:t>
      </w:r>
      <w:r>
        <w:br/>
      </w:r>
      <w:r>
        <w:rPr>
          <w:rStyle w:val="VerbatimChar"/>
        </w:rPr>
        <w:t xml:space="preserve">#&gt;  P ggforce          0.3.1    2019-08-20 [?] CRAN (R 4.0.0)                     </w:t>
      </w:r>
      <w:r>
        <w:br/>
      </w:r>
      <w:r>
        <w:rPr>
          <w:rStyle w:val="VerbatimChar"/>
        </w:rPr>
        <w:t xml:space="preserve">#&gt;  P ggmap            3.0.0    2019-02-05 [?] CRAN (R 4.0.0)                     </w:t>
      </w:r>
      <w:r>
        <w:br/>
      </w:r>
      <w:r>
        <w:rPr>
          <w:rStyle w:val="VerbatimChar"/>
        </w:rPr>
        <w:t xml:space="preserve">#&gt;  P ggplot2        * 3.3.1    2020-05-28 [?] CRAN (R 4.0.0)                     </w:t>
      </w:r>
      <w:r>
        <w:br/>
      </w:r>
      <w:r>
        <w:rPr>
          <w:rStyle w:val="VerbatimChar"/>
        </w:rPr>
        <w:t xml:space="preserve">#&gt;  P ggridges         0.5.2    2020-01-12 [?] CRAN (R 4.0.0)                     </w:t>
      </w:r>
      <w:r>
        <w:br/>
      </w:r>
      <w:r>
        <w:rPr>
          <w:rStyle w:val="VerbatimChar"/>
        </w:rPr>
        <w:t xml:space="preserve">#&gt;  P ggsn           * 0.5.0    2019-02-18 [?] CRAN (R 4.0.0)                     </w:t>
      </w:r>
      <w:r>
        <w:br/>
      </w:r>
      <w:r>
        <w:rPr>
          <w:rStyle w:val="VerbatimChar"/>
        </w:rPr>
        <w:t xml:space="preserve">#&gt;  P glue             1.4.1    2020-05-13 [?] CRAN (R 4.0.0)                     </w:t>
      </w:r>
      <w:r>
        <w:br/>
      </w:r>
      <w:r>
        <w:rPr>
          <w:rStyle w:val="VerbatimChar"/>
        </w:rPr>
        <w:t xml:space="preserve">#&gt;  P goftest          1.2-2    2019-12-02 [?] CRAN (R 4.0.0)                     </w:t>
      </w:r>
      <w:r>
        <w:br/>
      </w:r>
      <w:r>
        <w:rPr>
          <w:rStyle w:val="VerbatimChar"/>
        </w:rPr>
        <w:t xml:space="preserve">#&gt;    gridExtra        2.3      2017-09-09 [2] CRAN (R 4.0.0)                     </w:t>
      </w:r>
      <w:r>
        <w:br/>
      </w:r>
      <w:r>
        <w:rPr>
          <w:rStyle w:val="VerbatimChar"/>
        </w:rPr>
        <w:t xml:space="preserve">#&gt;  P gtable           0.3.0    2019-03-25 [?] CRAN (R 4.0.0)                     </w:t>
      </w:r>
      <w:r>
        <w:br/>
      </w:r>
      <w:r>
        <w:rPr>
          <w:rStyle w:val="VerbatimChar"/>
        </w:rPr>
        <w:t xml:space="preserve">#&gt;    haven            2.3.1    2020-06-01 [2] CRAN (R 4.0.0)                     </w:t>
      </w:r>
      <w:r>
        <w:br/>
      </w:r>
      <w:r>
        <w:rPr>
          <w:rStyle w:val="VerbatimChar"/>
        </w:rPr>
        <w:t xml:space="preserve">#&gt;    here           * 0.1      2017-05-28 [2] CRAN (R 4.0.0)                     </w:t>
      </w:r>
      <w:r>
        <w:br/>
      </w:r>
      <w:r>
        <w:rPr>
          <w:rStyle w:val="VerbatimChar"/>
        </w:rPr>
        <w:t xml:space="preserve">#&gt;  P highr            0.8      2019-03-20 [?] CRAN (R 4.0.0)                     </w:t>
      </w:r>
      <w:r>
        <w:br/>
      </w:r>
      <w:r>
        <w:rPr>
          <w:rStyle w:val="VerbatimChar"/>
        </w:rPr>
        <w:t xml:space="preserve">#&gt;  P hms              0.5.3    2020-01-08 [?] CRAN (R 4.0.0)                     </w:t>
      </w:r>
      <w:r>
        <w:br/>
      </w:r>
      <w:r>
        <w:rPr>
          <w:rStyle w:val="VerbatimChar"/>
        </w:rPr>
        <w:t xml:space="preserve">#&gt;  P htmltools        0.4.0    2019-10-04 [?] CRAN (R 4.0.0)                     </w:t>
      </w:r>
      <w:r>
        <w:br/>
      </w:r>
      <w:r>
        <w:rPr>
          <w:rStyle w:val="VerbatimChar"/>
        </w:rPr>
        <w:t xml:space="preserve">#&gt;  P httr             1.4.1    2019-08-05 [?] CRAN (R 4.0.0)                     </w:t>
      </w:r>
      <w:r>
        <w:br/>
      </w:r>
      <w:r>
        <w:rPr>
          <w:rStyle w:val="VerbatimChar"/>
        </w:rPr>
        <w:t xml:space="preserve">#&gt;  P jpeg             0.1-8.1  2019-10-24 [?] CRAN (R 4.0.0)                     </w:t>
      </w:r>
      <w:r>
        <w:br/>
      </w:r>
      <w:r>
        <w:rPr>
          <w:rStyle w:val="VerbatimChar"/>
        </w:rPr>
        <w:t xml:space="preserve">#&gt;  P jsonlite         1.6.1    2020-02-02 [?] CRAN (R 4.0.0)                     </w:t>
      </w:r>
      <w:r>
        <w:br/>
      </w:r>
      <w:r>
        <w:rPr>
          <w:rStyle w:val="VerbatimChar"/>
        </w:rPr>
        <w:t xml:space="preserve">#&gt;  P kableExtra       1.1.0    2019-03-16 [?] CRAN (R 4.0.0)                     </w:t>
      </w:r>
      <w:r>
        <w:br/>
      </w:r>
      <w:r>
        <w:rPr>
          <w:rStyle w:val="VerbatimChar"/>
        </w:rPr>
        <w:t xml:space="preserve">#&gt;  P KernSmooth       2.23-17  2020-04-26 [?] CRAN (R 4.0.0)                     </w:t>
      </w:r>
      <w:r>
        <w:br/>
      </w:r>
      <w:r>
        <w:rPr>
          <w:rStyle w:val="VerbatimChar"/>
        </w:rPr>
        <w:t xml:space="preserve">#&gt;  P knitr            1.28     2020-02-06 [?] CRAN (R 4.0.0)                     </w:t>
      </w:r>
      <w:r>
        <w:br/>
      </w:r>
      <w:r>
        <w:rPr>
          <w:rStyle w:val="VerbatimChar"/>
        </w:rPr>
        <w:t xml:space="preserve">#&gt;  P labeling         0.3      2014-08-23 [?] CRAN (R 4.0.0)                     </w:t>
      </w:r>
      <w:r>
        <w:br/>
      </w:r>
      <w:r>
        <w:rPr>
          <w:rStyle w:val="VerbatimChar"/>
        </w:rPr>
        <w:t xml:space="preserve">#&gt;  P lattice          0.20-41  2020-04-02 [?] CRAN (R 4.0.0)                     </w:t>
      </w:r>
      <w:r>
        <w:br/>
      </w:r>
      <w:r>
        <w:rPr>
          <w:rStyle w:val="VerbatimChar"/>
        </w:rPr>
        <w:t xml:space="preserve">#&gt;  P lifecycle        0.2.0    2020-03-06 [?] CRAN (R 4.0.0)                     </w:t>
      </w:r>
      <w:r>
        <w:br/>
      </w:r>
      <w:r>
        <w:rPr>
          <w:rStyle w:val="VerbatimChar"/>
        </w:rPr>
        <w:t xml:space="preserve">#&gt;    lubridate        1.7.9    2020-06-08 [2] CRAN (R 4.0.0)                     </w:t>
      </w:r>
      <w:r>
        <w:br/>
      </w:r>
      <w:r>
        <w:rPr>
          <w:rStyle w:val="VerbatimChar"/>
        </w:rPr>
        <w:t xml:space="preserve">#&gt;  P magrittr         1.5      2014-11-22 [?] CRAN (R 4.0.0)                     </w:t>
      </w:r>
      <w:r>
        <w:br/>
      </w:r>
      <w:r>
        <w:rPr>
          <w:rStyle w:val="VerbatimChar"/>
        </w:rPr>
        <w:t xml:space="preserve">#&gt;  P maptools       * 1.0-1    2020-05-14 [?] CRAN (R 4.0.0)                     </w:t>
      </w:r>
      <w:r>
        <w:br/>
      </w:r>
      <w:r>
        <w:rPr>
          <w:rStyle w:val="VerbatimChar"/>
        </w:rPr>
        <w:t xml:space="preserve">#&gt;  P MASS             7.3-51.6 2020-04-26 [?] CRAN (R 4.0.0)                     </w:t>
      </w:r>
      <w:r>
        <w:br/>
      </w:r>
      <w:r>
        <w:rPr>
          <w:rStyle w:val="VerbatimChar"/>
        </w:rPr>
        <w:t xml:space="preserve">#&gt;  P Matrix           1.2-18   2019-11-27 [?] CRAN (R 4.0.0)                     </w:t>
      </w:r>
      <w:r>
        <w:br/>
      </w:r>
      <w:r>
        <w:rPr>
          <w:rStyle w:val="VerbatimChar"/>
        </w:rPr>
        <w:t xml:space="preserve">#&gt;    memoise          1.1.0    2017-04-21 [2] CRAN (R 4.0.0)                     </w:t>
      </w:r>
      <w:r>
        <w:br/>
      </w:r>
      <w:r>
        <w:rPr>
          <w:rStyle w:val="VerbatimChar"/>
        </w:rPr>
        <w:t xml:space="preserve">#&gt;  P mgcv             1.8-31   2019-11-09 [?] CRAN (R 4.0.0)                     </w:t>
      </w:r>
      <w:r>
        <w:br/>
      </w:r>
      <w:r>
        <w:rPr>
          <w:rStyle w:val="VerbatimChar"/>
        </w:rPr>
        <w:t xml:space="preserve">#&gt;    modelr           0.1.8    2020-05-19 [2] CRAN (R 4.0.0)                     </w:t>
      </w:r>
      <w:r>
        <w:br/>
      </w:r>
      <w:r>
        <w:rPr>
          <w:rStyle w:val="VerbatimChar"/>
        </w:rPr>
        <w:t xml:space="preserve">#&gt;  P munsell          0.5.0    2018-06-12 [?] CRAN (R 4.0.0)                     </w:t>
      </w:r>
      <w:r>
        <w:br/>
      </w:r>
      <w:r>
        <w:rPr>
          <w:rStyle w:val="VerbatimChar"/>
        </w:rPr>
        <w:t xml:space="preserve">#&gt;  P nlme           * 3.1-148  2020-05-24 [?] CRAN (R 4.0.0)                     </w:t>
      </w:r>
      <w:r>
        <w:br/>
      </w:r>
      <w:r>
        <w:rPr>
          <w:rStyle w:val="VerbatimChar"/>
        </w:rPr>
        <w:t xml:space="preserve">#&gt;  P pillar           1.4.4    2020-05-05 [?] CRAN (R 4.0.0)                     </w:t>
      </w:r>
      <w:r>
        <w:br/>
      </w:r>
      <w:r>
        <w:rPr>
          <w:rStyle w:val="VerbatimChar"/>
        </w:rPr>
        <w:t xml:space="preserve">#&gt;  P pkgbuild         1.0.8    2020-05-07 [?] CRAN (R 4.0.0)                     </w:t>
      </w:r>
      <w:r>
        <w:br/>
      </w:r>
      <w:r>
        <w:rPr>
          <w:rStyle w:val="VerbatimChar"/>
        </w:rPr>
        <w:t xml:space="preserve">#&gt;  P pkgconfig        2.0.3    2019-09-22 [?] CRAN (R 4.0.0)                     </w:t>
      </w:r>
      <w:r>
        <w:br/>
      </w:r>
      <w:r>
        <w:rPr>
          <w:rStyle w:val="VerbatimChar"/>
        </w:rPr>
        <w:t xml:space="preserve">#&gt;  P pkgload          1.1.0    2020-05-29 [?] CRAN (R 4.0.0)                     </w:t>
      </w:r>
      <w:r>
        <w:br/>
      </w:r>
      <w:r>
        <w:rPr>
          <w:rStyle w:val="VerbatimChar"/>
        </w:rPr>
        <w:t xml:space="preserve">#&gt;  P plyr             1.8.6    2020-03-03 [?] CRAN (R 4.0.0)                     </w:t>
      </w:r>
      <w:r>
        <w:br/>
      </w:r>
      <w:r>
        <w:rPr>
          <w:rStyle w:val="VerbatimChar"/>
        </w:rPr>
        <w:t xml:space="preserve">#&gt;  P png              0.1-7    2013-12-03 [?] CRAN (R 4.0.0)                     </w:t>
      </w:r>
      <w:r>
        <w:br/>
      </w:r>
      <w:r>
        <w:rPr>
          <w:rStyle w:val="VerbatimChar"/>
        </w:rPr>
        <w:t xml:space="preserve">#&gt;  P polyclip         1.10-0   2019-03-14 [?] CRAN (R 4.0.0)                     </w:t>
      </w:r>
      <w:r>
        <w:br/>
      </w:r>
      <w:r>
        <w:rPr>
          <w:rStyle w:val="VerbatimChar"/>
        </w:rPr>
        <w:t xml:space="preserve">#&gt;  P prettyunits      1.1.1    2020-01-24 [?] CRAN (R 4.0.0)                     </w:t>
      </w:r>
      <w:r>
        <w:br/>
      </w:r>
      <w:r>
        <w:rPr>
          <w:rStyle w:val="VerbatimChar"/>
        </w:rPr>
        <w:t xml:space="preserve">#&gt;  P processx         3.4.2    2020-02-09 [?] CRAN (R 4.0.0)                     </w:t>
      </w:r>
      <w:r>
        <w:br/>
      </w:r>
      <w:r>
        <w:rPr>
          <w:rStyle w:val="VerbatimChar"/>
        </w:rPr>
        <w:t xml:space="preserve">#&gt;  P ps               1.3.3    2020-05-08 [?] CRAN (R 4.0.0)                     </w:t>
      </w:r>
      <w:r>
        <w:br/>
      </w:r>
      <w:r>
        <w:rPr>
          <w:rStyle w:val="VerbatimChar"/>
        </w:rPr>
        <w:t xml:space="preserve">#&gt;  P purrr          * 0.3.4    2020-04-17 [?] CRAN (R 4.0.0)                     </w:t>
      </w:r>
      <w:r>
        <w:br/>
      </w:r>
      <w:r>
        <w:rPr>
          <w:rStyle w:val="VerbatimChar"/>
        </w:rPr>
        <w:t xml:space="preserve">#&gt;  P R6               2.4.1    2019-11-12 [?] CRAN (R 4.0.0)                     </w:t>
      </w:r>
      <w:r>
        <w:br/>
      </w:r>
      <w:r>
        <w:rPr>
          <w:rStyle w:val="VerbatimChar"/>
        </w:rPr>
        <w:t xml:space="preserve">#&gt;  P raster         * 3.1-5    2020-04-19 [?] CRAN (R 4.0.0)                     </w:t>
      </w:r>
      <w:r>
        <w:br/>
      </w:r>
      <w:r>
        <w:rPr>
          <w:rStyle w:val="VerbatimChar"/>
        </w:rPr>
        <w:t xml:space="preserve">#&gt;  P Rcpp             1.0.4.6  2020-04-09 [?] CRAN (R 4.0.0)                     </w:t>
      </w:r>
      <w:r>
        <w:br/>
      </w:r>
      <w:r>
        <w:rPr>
          <w:rStyle w:val="VerbatimChar"/>
        </w:rPr>
        <w:t xml:space="preserve">#&gt;  P readr          * 1.3.1    2018-12-21 [?] CRAN (R 4.0.0)                     </w:t>
      </w:r>
      <w:r>
        <w:br/>
      </w:r>
      <w:r>
        <w:rPr>
          <w:rStyle w:val="VerbatimChar"/>
        </w:rPr>
        <w:t xml:space="preserve">#&gt;    readxl           1.3.1    2019-03-13 [2] CRAN (R 4.0.0)                     </w:t>
      </w:r>
      <w:r>
        <w:br/>
      </w:r>
      <w:r>
        <w:rPr>
          <w:rStyle w:val="VerbatimChar"/>
        </w:rPr>
        <w:t xml:space="preserve">#&gt;    remotes          2.1.1    2020-02-15 [2] CRAN (R 4.0.0)                     </w:t>
      </w:r>
      <w:r>
        <w:br/>
      </w:r>
      <w:r>
        <w:rPr>
          <w:rStyle w:val="VerbatimChar"/>
        </w:rPr>
        <w:t xml:space="preserve">#&gt;    reprex           0.3.0    2019-05-16 [2] CRAN (R 4.0.0)                     </w:t>
      </w:r>
      <w:r>
        <w:br/>
      </w:r>
      <w:r>
        <w:rPr>
          <w:rStyle w:val="VerbatimChar"/>
        </w:rPr>
        <w:t xml:space="preserve">#&gt;    rgeos            0.5-3    2020-05-08 [2] CRAN (R 4.0.0)                     </w:t>
      </w:r>
      <w:r>
        <w:br/>
      </w:r>
      <w:r>
        <w:rPr>
          <w:rStyle w:val="VerbatimChar"/>
        </w:rPr>
        <w:t xml:space="preserve">#&gt;  P RgoogleMaps      1.4.5.3  2020-02-12 [?] CRAN (R 4.0.0)                     </w:t>
      </w:r>
      <w:r>
        <w:br/>
      </w:r>
      <w:r>
        <w:rPr>
          <w:rStyle w:val="VerbatimChar"/>
        </w:rPr>
        <w:t xml:space="preserve">#&gt;  P rjson            0.2.20   2018-06-08 [?] CRAN (R 4.0.0)                     </w:t>
      </w:r>
      <w:r>
        <w:br/>
      </w:r>
      <w:r>
        <w:rPr>
          <w:rStyle w:val="VerbatimChar"/>
        </w:rPr>
        <w:t xml:space="preserve">#&gt;  P rlang            0.4.6    2020-05-02 [?] CRAN (R 4.0.0)                     </w:t>
      </w:r>
      <w:r>
        <w:br/>
      </w:r>
      <w:r>
        <w:rPr>
          <w:rStyle w:val="VerbatimChar"/>
        </w:rPr>
        <w:t xml:space="preserve">#&gt;  P rmarkdown        2.2      2020-05-31 [?] CRAN (R 4.0.0)                     </w:t>
      </w:r>
      <w:r>
        <w:br/>
      </w:r>
      <w:r>
        <w:rPr>
          <w:rStyle w:val="VerbatimChar"/>
        </w:rPr>
        <w:t xml:space="preserve">#&gt;  P rpart          * 4.1-15   2019-04-12 [?] CRAN (R 4.0.0)                     </w:t>
      </w:r>
      <w:r>
        <w:br/>
      </w:r>
      <w:r>
        <w:rPr>
          <w:rStyle w:val="VerbatimChar"/>
        </w:rPr>
        <w:t xml:space="preserve">#&gt;  P rprojroot        1.3-2    2018-01-03 [?] CRAN (R 4.0.0)                     </w:t>
      </w:r>
      <w:r>
        <w:br/>
      </w:r>
      <w:r>
        <w:rPr>
          <w:rStyle w:val="VerbatimChar"/>
        </w:rPr>
        <w:t xml:space="preserve">#&gt;    rrtools          0.1.0    2020-06-24 [2] Github (benmarwick/rrtools@f43aae1)</w:t>
      </w:r>
      <w:r>
        <w:br/>
      </w:r>
      <w:r>
        <w:rPr>
          <w:rStyle w:val="VerbatimChar"/>
        </w:rPr>
        <w:t xml:space="preserve">#&gt;  P rstudioapi       0.11     2020-02-07 [?] CRAN (R 4.0.0)                     </w:t>
      </w:r>
      <w:r>
        <w:br/>
      </w:r>
      <w:r>
        <w:rPr>
          <w:rStyle w:val="VerbatimChar"/>
        </w:rPr>
        <w:t xml:space="preserve">#&gt;  P rvest            0.3.5    2019-11-08 [?] CRAN (R 4.0.0)                     </w:t>
      </w:r>
      <w:r>
        <w:br/>
      </w:r>
      <w:r>
        <w:rPr>
          <w:rStyle w:val="VerbatimChar"/>
        </w:rPr>
        <w:t xml:space="preserve">#&gt;  P scales           1.1.1    2020-05-11 [?] CRAN (R 4.0.0)                     </w:t>
      </w:r>
      <w:r>
        <w:br/>
      </w:r>
      <w:r>
        <w:rPr>
          <w:rStyle w:val="VerbatimChar"/>
        </w:rPr>
        <w:t xml:space="preserve">#&gt;    sessioninfo      1.1.1    2018-11-05 [2] CRAN (R 4.0.0)                     </w:t>
      </w:r>
      <w:r>
        <w:br/>
      </w:r>
      <w:r>
        <w:rPr>
          <w:rStyle w:val="VerbatimChar"/>
        </w:rPr>
        <w:t xml:space="preserve">#&gt;  P sf             * 0.9-3    2020-05-04 [?] CRAN (R 4.0.0)                     </w:t>
      </w:r>
      <w:r>
        <w:br/>
      </w:r>
      <w:r>
        <w:rPr>
          <w:rStyle w:val="VerbatimChar"/>
        </w:rPr>
        <w:t xml:space="preserve">#&gt;  P sp             * 1.4-2    2020-05-20 [?] CRAN (R 4.0.0)                     </w:t>
      </w:r>
      <w:r>
        <w:br/>
      </w:r>
      <w:r>
        <w:rPr>
          <w:rStyle w:val="VerbatimChar"/>
        </w:rPr>
        <w:t xml:space="preserve">#&gt;  P spatstat       * 1.64-1   2020-05-12 [?] CRAN (R 4.0.0)                     </w:t>
      </w:r>
      <w:r>
        <w:br/>
      </w:r>
      <w:r>
        <w:rPr>
          <w:rStyle w:val="VerbatimChar"/>
        </w:rPr>
        <w:t xml:space="preserve">#&gt;  P spatstat.data  * 1.4-3    2020-01-26 [?] CRAN (R 4.0.0)                     </w:t>
      </w:r>
      <w:r>
        <w:br/>
      </w:r>
      <w:r>
        <w:rPr>
          <w:rStyle w:val="VerbatimChar"/>
        </w:rPr>
        <w:t xml:space="preserve">#&gt;  P spatstat.utils   1.17-0   2020-02-07 [?] CRAN (R 4.0.0)                     </w:t>
      </w:r>
      <w:r>
        <w:br/>
      </w:r>
      <w:r>
        <w:rPr>
          <w:rStyle w:val="VerbatimChar"/>
        </w:rPr>
        <w:t xml:space="preserve">#&gt;  P stringi          1.4.6    2020-02-17 [?] CRAN (R 4.0.0)                     </w:t>
      </w:r>
      <w:r>
        <w:br/>
      </w:r>
      <w:r>
        <w:rPr>
          <w:rStyle w:val="VerbatimChar"/>
        </w:rPr>
        <w:t xml:space="preserve">#&gt;  P stringr        * 1.4.0    2019-02-10 [?] CRAN (R 4.0.0)                     </w:t>
      </w:r>
      <w:r>
        <w:br/>
      </w:r>
      <w:r>
        <w:rPr>
          <w:rStyle w:val="VerbatimChar"/>
        </w:rPr>
        <w:t xml:space="preserve">#&gt;  P tensor           1.5      2012-05-05 [?] CRAN (R 4.0.0)                     </w:t>
      </w:r>
      <w:r>
        <w:br/>
      </w:r>
      <w:r>
        <w:rPr>
          <w:rStyle w:val="VerbatimChar"/>
        </w:rPr>
        <w:t xml:space="preserve">#&gt;  P testthat         2.3.2    2020-03-02 [?] CRAN (R 4.0.0)                     </w:t>
      </w:r>
      <w:r>
        <w:br/>
      </w:r>
      <w:r>
        <w:rPr>
          <w:rStyle w:val="VerbatimChar"/>
        </w:rPr>
        <w:t xml:space="preserve">#&gt;  P tibble         * 3.0.1    2020-04-20 [?] CRAN (R 4.0.0)                     </w:t>
      </w:r>
      <w:r>
        <w:br/>
      </w:r>
      <w:r>
        <w:rPr>
          <w:rStyle w:val="VerbatimChar"/>
        </w:rPr>
        <w:t xml:space="preserve">#&gt;  P tidyr          * 1.1.0    2020-05-20 [?] CRAN (R 4.0.0)                     </w:t>
      </w:r>
      <w:r>
        <w:br/>
      </w:r>
      <w:r>
        <w:rPr>
          <w:rStyle w:val="VerbatimChar"/>
        </w:rPr>
        <w:t xml:space="preserve">#&gt;  P tidyselect       1.1.0    2020-05-11 [?] CRAN (R 4.0.0)                     </w:t>
      </w:r>
      <w:r>
        <w:br/>
      </w:r>
      <w:r>
        <w:rPr>
          <w:rStyle w:val="VerbatimChar"/>
        </w:rPr>
        <w:t xml:space="preserve">#&gt;    tidyverse      * 1.3.0    2019-11-21 [2] CRAN (R 4.0.0)                     </w:t>
      </w:r>
      <w:r>
        <w:br/>
      </w:r>
      <w:r>
        <w:rPr>
          <w:rStyle w:val="VerbatimChar"/>
        </w:rPr>
        <w:t xml:space="preserve">#&gt;  P tweenr           1.0.1    2018-12-14 [?] CRAN (R 4.0.0)                     </w:t>
      </w:r>
      <w:r>
        <w:br/>
      </w:r>
      <w:r>
        <w:rPr>
          <w:rStyle w:val="VerbatimChar"/>
        </w:rPr>
        <w:t xml:space="preserve">#&gt;  P units            0.6-6    2020-03-16 [?] CRAN (R 4.0.0)                     </w:t>
      </w:r>
      <w:r>
        <w:br/>
      </w:r>
      <w:r>
        <w:rPr>
          <w:rStyle w:val="VerbatimChar"/>
        </w:rPr>
        <w:t xml:space="preserve">#&gt;    usethis          1.6.1    2020-04-29 [2] CRAN (R 4.0.0)                     </w:t>
      </w:r>
      <w:r>
        <w:br/>
      </w:r>
      <w:r>
        <w:rPr>
          <w:rStyle w:val="VerbatimChar"/>
        </w:rPr>
        <w:t xml:space="preserve">#&gt;  P vctrs            0.3.1    2020-06-05 [?] CRAN (R 4.0.0)                     </w:t>
      </w:r>
      <w:r>
        <w:br/>
      </w:r>
      <w:r>
        <w:rPr>
          <w:rStyle w:val="VerbatimChar"/>
        </w:rPr>
        <w:t xml:space="preserve">#&gt;    viridis        * 0.5.1    2018-03-29 [2] CRAN (R 4.0.0)                     </w:t>
      </w:r>
      <w:r>
        <w:br/>
      </w:r>
      <w:r>
        <w:rPr>
          <w:rStyle w:val="VerbatimChar"/>
        </w:rPr>
        <w:t xml:space="preserve">#&gt;  P viridisLite    * 0.3.0    2018-02-01 [?] CRAN (R 4.0.0)                     </w:t>
      </w:r>
      <w:r>
        <w:br/>
      </w:r>
      <w:r>
        <w:rPr>
          <w:rStyle w:val="VerbatimChar"/>
        </w:rPr>
        <w:t xml:space="preserve">#&gt;  P webshot          0.5.2    2019-11-22 [?] CRAN (R 4.0.0)                     </w:t>
      </w:r>
      <w:r>
        <w:br/>
      </w:r>
      <w:r>
        <w:rPr>
          <w:rStyle w:val="VerbatimChar"/>
        </w:rPr>
        <w:t xml:space="preserve">#&gt;  P withr            2.2.0    2020-04-20 [?] CRAN (R 4.0.0)                     </w:t>
      </w:r>
      <w:r>
        <w:br/>
      </w:r>
      <w:r>
        <w:rPr>
          <w:rStyle w:val="VerbatimChar"/>
        </w:rPr>
        <w:t xml:space="preserve">#&gt;  P xfun             0.14     2020-05-20 [?] CRAN (R 4.0.0)                     </w:t>
      </w:r>
      <w:r>
        <w:br/>
      </w:r>
      <w:r>
        <w:rPr>
          <w:rStyle w:val="VerbatimChar"/>
        </w:rPr>
        <w:t xml:space="preserve">#&gt;  P xml2             1.3.2    2020-04-23 [?] CRAN (R 4.0.0)                     </w:t>
      </w:r>
      <w:r>
        <w:br/>
      </w:r>
      <w:r>
        <w:rPr>
          <w:rStyle w:val="VerbatimChar"/>
        </w:rPr>
        <w:t xml:space="preserve">#&gt;  P yaml             2.2.1    2020-02-01 [?] CRAN (R 4.0.0)                     </w:t>
      </w:r>
      <w:r>
        <w:br/>
      </w:r>
      <w:r>
        <w:rPr>
          <w:rStyle w:val="VerbatimChar"/>
        </w:rPr>
        <w:t xml:space="preserve">#&gt; </w:t>
      </w:r>
      <w:r>
        <w:br/>
      </w:r>
      <w:r>
        <w:rPr>
          <w:rStyle w:val="VerbatimChar"/>
        </w:rPr>
        <w:t xml:space="preserve">#&gt; [1] /Users/EmilyWang/Desktop/School document/LW-Paper/kwl-ornaments-2019/renv/library/R-4.0/x86_64-apple-darwin17.0</w:t>
      </w:r>
      <w:r>
        <w:br/>
      </w:r>
      <w:r>
        <w:rPr>
          <w:rStyle w:val="VerbatimChar"/>
        </w:rPr>
        <w:t xml:space="preserve">#&gt; [2]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r>
      <w:r>
        <w:rPr>
          <w:rStyle w:val="VerbatimChar"/>
        </w:rPr>
        <w:t xml:space="preserve">#&gt; Remote:   master @ origin (https://github.com/LiYingWang/master.paper.git)</w:t>
      </w:r>
      <w:r>
        <w:br/>
      </w:r>
      <w:r>
        <w:rPr>
          <w:rStyle w:val="VerbatimChar"/>
        </w:rPr>
        <w:t xml:space="preserve">#&gt; Head:     [54247e0] 2020-07-09: Capitalize place name</w:t>
      </w:r>
    </w:p>
    <w:p>
      <w:pPr>
        <w:pStyle w:val="FirstParagraph"/>
      </w:pPr>
      <w:r>
        <w:t xml:space="preserve">Word count: 6534</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29" Target="media/rId29.pn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1" Target="media/rId41.jpg" /><Relationship Type="http://schemas.openxmlformats.org/officeDocument/2006/relationships/image" Id="rId36" Target="media/rId36.jp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2" Target="http://doi.org/10.17605/OSF.IO/R8YGA" TargetMode="External" /><Relationship Type="http://schemas.openxmlformats.org/officeDocument/2006/relationships/hyperlink" Id="rId11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in northeastern Taiwan before and after the European colonial period</dc:title>
  <dc:creator>Li-Ying Wang; Ben Marwick</dc:creator>
  <cp:keywords/>
  <dcterms:created xsi:type="dcterms:W3CDTF">2020-07-09T18:40:07Z</dcterms:created>
  <dcterms:modified xsi:type="dcterms:W3CDTF">2020-07-09T18:40:07Z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(1350-1850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colonial influence. Ornaments give insights into the increasing social inequality stimulated by the European colonial presence,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09 July, 2020</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